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C026" w14:textId="3C188586" w:rsidR="001F7E5E" w:rsidRPr="00263142" w:rsidRDefault="00263142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263142">
        <w:rPr>
          <w:iCs/>
          <w:sz w:val="32"/>
          <w:szCs w:val="32"/>
          <w:lang w:eastAsia="en-US"/>
        </w:rPr>
        <w:t>СЗВ-СТАЖ за 2021 год: вспоминаем важные правила и знакомимся с новшествами</w:t>
      </w:r>
    </w:p>
    <w:p w14:paraId="45A4BF89" w14:textId="77777777" w:rsidR="00263142" w:rsidRDefault="00263142" w:rsidP="001F7E5E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b w:val="0"/>
          <w:bCs w:val="0"/>
          <w:color w:val="000000"/>
          <w:sz w:val="23"/>
          <w:szCs w:val="23"/>
        </w:rPr>
      </w:pPr>
    </w:p>
    <w:p w14:paraId="43FA3295" w14:textId="316B595E" w:rsidR="00263142" w:rsidRP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263142">
        <w:rPr>
          <w:rFonts w:ascii="PT Serif" w:hAnsi="PT Serif"/>
          <w:color w:val="0E0E0E"/>
          <w:sz w:val="23"/>
          <w:szCs w:val="23"/>
        </w:rPr>
        <w:t xml:space="preserve">Не позднее 1 марта нужно подать СЗВ-СТАЖ за год. Его форма не изменилась, а вот порядок заполнения скорректировали. Так, внесли уточнения для кодов "ПРОСТОЙ" и "КВАЛИФ" в графе 11. </w:t>
      </w:r>
    </w:p>
    <w:p w14:paraId="7073618E" w14:textId="6684FEBD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СЗВ-СТАЖ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сдают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все организации. Его заполняют на всех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застрахованных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лиц, в т.ч. на тех, кто работает по ГПД. Отчет о руководителе — единственном учредителе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подают</w:t>
        </w:r>
      </w:hyperlink>
      <w:r>
        <w:rPr>
          <w:rFonts w:ascii="PT Serif" w:hAnsi="PT Serif"/>
          <w:color w:val="0E0E0E"/>
          <w:sz w:val="23"/>
          <w:szCs w:val="23"/>
        </w:rPr>
        <w:t>, даже если нет трудового договора.</w:t>
      </w:r>
    </w:p>
    <w:p w14:paraId="15728637" w14:textId="7B0603AF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СЗВ-СТАЖ за 2021 год составляйте по той 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форме</w:t>
        </w:r>
      </w:hyperlink>
      <w:r>
        <w:rPr>
          <w:rFonts w:ascii="PT Serif" w:hAnsi="PT Serif"/>
          <w:color w:val="0E0E0E"/>
          <w:sz w:val="23"/>
          <w:szCs w:val="23"/>
        </w:rPr>
        <w:t>, что и за предыдущий период. Немного скорректировали порядок ее заполнения. К примеру, если вы внесли 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графу 11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разд. 3 код "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ПРОСТОЙ</w:t>
        </w:r>
      </w:hyperlink>
      <w:r>
        <w:rPr>
          <w:rFonts w:ascii="PT Serif" w:hAnsi="PT Serif"/>
          <w:color w:val="0E0E0E"/>
          <w:sz w:val="23"/>
          <w:szCs w:val="23"/>
        </w:rPr>
        <w:t>", то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нельзя указывать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6593A8BF" w14:textId="4AA07F9F" w:rsidR="00263142" w:rsidRDefault="00263142" w:rsidP="00263142">
      <w:pPr>
        <w:numPr>
          <w:ilvl w:val="0"/>
          <w:numId w:val="29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графе 8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код территориальных условий труда;</w:t>
      </w:r>
    </w:p>
    <w:p w14:paraId="6CBD8D23" w14:textId="11DB1ECE" w:rsidR="00263142" w:rsidRDefault="00263142" w:rsidP="00263142">
      <w:pPr>
        <w:numPr>
          <w:ilvl w:val="0"/>
          <w:numId w:val="29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графе 9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код особых условий труда;</w:t>
      </w:r>
    </w:p>
    <w:p w14:paraId="3EDC6B2E" w14:textId="70F7CF68" w:rsidR="00263142" w:rsidRDefault="00263142" w:rsidP="00263142">
      <w:pPr>
        <w:numPr>
          <w:ilvl w:val="0"/>
          <w:numId w:val="29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графе 12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код условий досрочного назначения пенсии.</w:t>
      </w:r>
    </w:p>
    <w:p w14:paraId="29089A1B" w14:textId="10D2E911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Если в графе 11 вы отразили код "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КВАЛИФ</w:t>
        </w:r>
      </w:hyperlink>
      <w:r>
        <w:rPr>
          <w:rFonts w:ascii="PT Serif" w:hAnsi="PT Serif"/>
          <w:color w:val="0E0E0E"/>
          <w:sz w:val="23"/>
          <w:szCs w:val="23"/>
        </w:rPr>
        <w:t>", вместе с ним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можно проставлять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коды особых условий труда и условий досрочного назначения пенсии. Правило касается только периодов профессионального обучения или дополнительного профобразования с отрывом от работы.</w:t>
      </w:r>
    </w:p>
    <w:p w14:paraId="4A0CC1D8" w14:textId="2F764BEA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Как и раньше, в этой графе вы проставляете код для каждого периода, когда сотрудник не работал.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выделяйте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ежегодный отпуск, если лицо работает в обычных условиях. Есть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исключения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6675529C" w14:textId="48BB17ED" w:rsidR="00263142" w:rsidRDefault="00263142" w:rsidP="00263142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>
        <w:rPr>
          <w:rFonts w:ascii="PT Serif" w:hAnsi="PT Serif"/>
          <w:color w:val="0E0E0E"/>
          <w:sz w:val="23"/>
          <w:szCs w:val="23"/>
        </w:rPr>
        <w:t xml:space="preserve"> смотрите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3DEF0E07" w14:textId="6F05FCC8" w:rsidR="00263142" w:rsidRDefault="00263142" w:rsidP="00263142">
      <w:pPr>
        <w:numPr>
          <w:ilvl w:val="0"/>
          <w:numId w:val="30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СЗВ-СТАЖ простой</w:t>
        </w:r>
      </w:hyperlink>
    </w:p>
    <w:p w14:paraId="16F9F6D7" w14:textId="0857627F" w:rsidR="00263142" w:rsidRDefault="00263142" w:rsidP="00263142">
      <w:pPr>
        <w:numPr>
          <w:ilvl w:val="0"/>
          <w:numId w:val="30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СЗВ-СТАЖ повышение квалификации</w:t>
        </w:r>
      </w:hyperlink>
    </w:p>
    <w:p w14:paraId="0E7F56D9" w14:textId="57DC82B1" w:rsidR="00263142" w:rsidRDefault="00263142" w:rsidP="00263142">
      <w:pPr>
        <w:numPr>
          <w:ilvl w:val="0"/>
          <w:numId w:val="30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СЗВ-СТАЖ отпуск работника</w:t>
        </w:r>
      </w:hyperlink>
    </w:p>
    <w:p w14:paraId="463373E9" w14:textId="3863D5C8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СЗВ-СТАЖ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состоит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из 5 разделов. При заполнении больше всего вопросов вызывает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разд. 3</w:t>
        </w:r>
      </w:hyperlink>
      <w:r>
        <w:rPr>
          <w:rFonts w:ascii="PT Serif" w:hAnsi="PT Serif"/>
          <w:color w:val="0E0E0E"/>
          <w:sz w:val="23"/>
          <w:szCs w:val="23"/>
        </w:rPr>
        <w:t>. В нем нужно отразить данные о сотрудниках. Учтите, в частности, следующее:</w:t>
      </w:r>
    </w:p>
    <w:p w14:paraId="3EF28A83" w14:textId="3B8A64E0" w:rsidR="00263142" w:rsidRDefault="00263142" w:rsidP="00263142">
      <w:pPr>
        <w:numPr>
          <w:ilvl w:val="0"/>
          <w:numId w:val="31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графах 6</w:t>
        </w:r>
      </w:hyperlink>
      <w:r>
        <w:rPr>
          <w:rFonts w:ascii="PT Serif" w:hAnsi="PT Serif"/>
          <w:color w:val="0E0E0E"/>
          <w:sz w:val="23"/>
          <w:szCs w:val="23"/>
        </w:rPr>
        <w:t>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7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надо построчно заполнить периоды по каждому сотруднику, когда он работал и не работал в 2021 году (был на больничном, в декрете и т.д.).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Укажите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дату начала и окончания каждого периода;</w:t>
      </w:r>
    </w:p>
    <w:p w14:paraId="79B88766" w14:textId="6D3FB07B" w:rsidR="00263142" w:rsidRDefault="00263142" w:rsidP="00263142">
      <w:pPr>
        <w:numPr>
          <w:ilvl w:val="0"/>
          <w:numId w:val="31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графах 8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color w:val="0E0E0E"/>
          <w:sz w:val="23"/>
          <w:szCs w:val="23"/>
        </w:rPr>
        <w:t>‒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PT Serif" w:hAnsi="PT Serif"/>
          <w:color w:val="0E0E0E"/>
          <w:sz w:val="23"/>
          <w:szCs w:val="23"/>
        </w:rPr>
        <w:t>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12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13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нужно проставить коды из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классификатора</w:t>
        </w:r>
      </w:hyperlink>
      <w:r>
        <w:rPr>
          <w:rFonts w:ascii="PT Serif" w:hAnsi="PT Serif"/>
          <w:color w:val="0E0E0E"/>
          <w:sz w:val="23"/>
          <w:szCs w:val="23"/>
        </w:rPr>
        <w:t>, если работа сотрудника связана с территориальными или особыми условиями труда, а также с условиями, которые дают ему право на досрочную пенсию.</w:t>
      </w:r>
    </w:p>
    <w:p w14:paraId="372F3CA8" w14:textId="411E4CF2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Графы 1</w:t>
        </w:r>
      </w:hyperlink>
      <w:r>
        <w:rPr>
          <w:rFonts w:ascii="PT Serif" w:hAnsi="PT Serif"/>
          <w:color w:val="0E0E0E"/>
          <w:sz w:val="23"/>
          <w:szCs w:val="23"/>
        </w:rPr>
        <w:t>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5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color w:val="0E0E0E"/>
          <w:sz w:val="23"/>
          <w:szCs w:val="23"/>
        </w:rPr>
        <w:t>‒</w:t>
      </w:r>
      <w:hyperlink r:id="rId3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7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нельзя оставлять пустыми, их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необходимо заполнить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2A36C263" w14:textId="54B9E61D" w:rsidR="00263142" w:rsidRDefault="00263142" w:rsidP="00263142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Подробности</w:t>
      </w:r>
      <w:r w:rsidR="0012324D">
        <w:rPr>
          <w:rFonts w:ascii="PT Serif" w:hAnsi="PT Serif"/>
          <w:color w:val="0E0E0E"/>
          <w:sz w:val="23"/>
          <w:szCs w:val="23"/>
        </w:rPr>
        <w:t xml:space="preserve"> смотрите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11CC2323" w14:textId="73FA00D6" w:rsidR="00263142" w:rsidRDefault="00263142" w:rsidP="00263142">
      <w:pPr>
        <w:numPr>
          <w:ilvl w:val="0"/>
          <w:numId w:val="3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Порядок заполнения СЗВ-СТАЖ по итогам года</w:t>
        </w:r>
      </w:hyperlink>
    </w:p>
    <w:p w14:paraId="5F6CC104" w14:textId="0CA32A01" w:rsidR="00263142" w:rsidRDefault="00263142" w:rsidP="00263142">
      <w:pPr>
        <w:numPr>
          <w:ilvl w:val="0"/>
          <w:numId w:val="32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3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Образец заполнения СЗВ-СТАЖ за 2021 год</w:t>
        </w:r>
      </w:hyperlink>
    </w:p>
    <w:p w14:paraId="6A35A558" w14:textId="697C8CE0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Много вопросов вызывает заполнение СЗВ-СТАЖ в определенных ситуациях. Например, при отражении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больничных</w:t>
        </w:r>
      </w:hyperlink>
      <w:r>
        <w:rPr>
          <w:rFonts w:ascii="PT Serif" w:hAnsi="PT Serif"/>
          <w:color w:val="0E0E0E"/>
          <w:sz w:val="23"/>
          <w:szCs w:val="23"/>
        </w:rPr>
        <w:t>, в т.ч. из-за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3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карантина</w:t>
        </w:r>
      </w:hyperlink>
      <w:r>
        <w:rPr>
          <w:rFonts w:ascii="PT Serif" w:hAnsi="PT Serif"/>
          <w:color w:val="0E0E0E"/>
          <w:sz w:val="23"/>
          <w:szCs w:val="23"/>
        </w:rPr>
        <w:t xml:space="preserve">, в графах 6 </w:t>
      </w:r>
      <w:r>
        <w:rPr>
          <w:color w:val="0E0E0E"/>
          <w:sz w:val="23"/>
          <w:szCs w:val="23"/>
        </w:rPr>
        <w:t>‒</w:t>
      </w:r>
      <w:r>
        <w:rPr>
          <w:rFonts w:ascii="PT Serif" w:hAnsi="PT Serif"/>
          <w:color w:val="0E0E0E"/>
          <w:sz w:val="23"/>
          <w:szCs w:val="23"/>
        </w:rPr>
        <w:t xml:space="preserve"> 7 </w:t>
      </w:r>
      <w:r>
        <w:rPr>
          <w:rFonts w:ascii="PT Serif" w:hAnsi="PT Serif" w:cs="PT Serif"/>
          <w:color w:val="0E0E0E"/>
          <w:sz w:val="23"/>
          <w:szCs w:val="23"/>
        </w:rPr>
        <w:t>проставьте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дату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начала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и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окончания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больничного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в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пределах</w:t>
      </w:r>
      <w:r>
        <w:rPr>
          <w:rFonts w:ascii="PT Serif" w:hAnsi="PT Serif"/>
          <w:color w:val="0E0E0E"/>
          <w:sz w:val="23"/>
          <w:szCs w:val="23"/>
        </w:rPr>
        <w:t xml:space="preserve"> 2021 </w:t>
      </w:r>
      <w:r>
        <w:rPr>
          <w:rFonts w:ascii="PT Serif" w:hAnsi="PT Serif" w:cs="PT Serif"/>
          <w:color w:val="0E0E0E"/>
          <w:sz w:val="23"/>
          <w:szCs w:val="23"/>
        </w:rPr>
        <w:t>года</w:t>
      </w:r>
      <w:r>
        <w:rPr>
          <w:rFonts w:ascii="PT Serif" w:hAnsi="PT Serif"/>
          <w:color w:val="0E0E0E"/>
          <w:sz w:val="23"/>
          <w:szCs w:val="23"/>
        </w:rPr>
        <w:t xml:space="preserve">, </w:t>
      </w:r>
      <w:r>
        <w:rPr>
          <w:rFonts w:ascii="PT Serif" w:hAnsi="PT Serif" w:cs="PT Serif"/>
          <w:color w:val="0E0E0E"/>
          <w:sz w:val="23"/>
          <w:szCs w:val="23"/>
        </w:rPr>
        <w:t>а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в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графе</w:t>
      </w:r>
      <w:r>
        <w:rPr>
          <w:rFonts w:ascii="PT Serif" w:hAnsi="PT Serif"/>
          <w:color w:val="0E0E0E"/>
          <w:sz w:val="23"/>
          <w:szCs w:val="23"/>
        </w:rPr>
        <w:t xml:space="preserve"> 11 </w:t>
      </w:r>
      <w:r>
        <w:rPr>
          <w:rFonts w:ascii="PT Serif" w:hAnsi="PT Serif" w:cs="PT Serif"/>
          <w:color w:val="0E0E0E"/>
          <w:sz w:val="23"/>
          <w:szCs w:val="23"/>
        </w:rPr>
        <w:t>укажите</w:t>
      </w:r>
      <w:r>
        <w:rPr>
          <w:rFonts w:ascii="PT Serif" w:hAnsi="PT Serif"/>
          <w:color w:val="0E0E0E"/>
          <w:sz w:val="23"/>
          <w:szCs w:val="23"/>
        </w:rPr>
        <w:t xml:space="preserve"> </w:t>
      </w:r>
      <w:r>
        <w:rPr>
          <w:rFonts w:ascii="PT Serif" w:hAnsi="PT Serif" w:cs="PT Serif"/>
          <w:color w:val="0E0E0E"/>
          <w:sz w:val="23"/>
          <w:szCs w:val="23"/>
        </w:rPr>
        <w:t>код</w:t>
      </w:r>
      <w:r>
        <w:rPr>
          <w:rFonts w:ascii="PT Serif" w:hAnsi="PT Serif"/>
          <w:color w:val="0E0E0E"/>
          <w:sz w:val="23"/>
          <w:szCs w:val="23"/>
        </w:rPr>
        <w:t xml:space="preserve"> "</w:t>
      </w:r>
      <w:hyperlink r:id="rId4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ВРНЕТРУД</w:t>
        </w:r>
      </w:hyperlink>
      <w:r>
        <w:rPr>
          <w:rFonts w:ascii="PT Serif" w:hAnsi="PT Serif"/>
          <w:color w:val="0E0E0E"/>
          <w:sz w:val="23"/>
          <w:szCs w:val="23"/>
        </w:rPr>
        <w:t>". Если больничный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неоплачиваемый</w:t>
        </w:r>
      </w:hyperlink>
      <w:r>
        <w:rPr>
          <w:rFonts w:ascii="PT Serif" w:hAnsi="PT Serif"/>
          <w:color w:val="0E0E0E"/>
          <w:sz w:val="23"/>
          <w:szCs w:val="23"/>
        </w:rPr>
        <w:t>, отразите его отдельной строкой и в графе 11 проставьте код "</w:t>
      </w:r>
      <w:hyperlink r:id="rId4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НЕОПЛ</w:t>
        </w:r>
      </w:hyperlink>
      <w:r>
        <w:rPr>
          <w:rFonts w:ascii="PT Serif" w:hAnsi="PT Serif"/>
          <w:color w:val="0E0E0E"/>
          <w:sz w:val="23"/>
          <w:szCs w:val="23"/>
        </w:rPr>
        <w:t>".</w:t>
      </w:r>
    </w:p>
    <w:p w14:paraId="27151A94" w14:textId="39512C2D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При указании периода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декрета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отпуска по уходу за ребенком</w:t>
        </w:r>
      </w:hyperlink>
      <w:r>
        <w:rPr>
          <w:rFonts w:ascii="PT Serif" w:hAnsi="PT Serif"/>
          <w:color w:val="0E0E0E"/>
          <w:sz w:val="23"/>
          <w:szCs w:val="23"/>
        </w:rPr>
        <w:t>, работы при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неполном дне</w:t>
        </w:r>
      </w:hyperlink>
      <w:r>
        <w:rPr>
          <w:rFonts w:ascii="PT Serif" w:hAnsi="PT Serif"/>
          <w:color w:val="0E0E0E"/>
          <w:sz w:val="23"/>
          <w:szCs w:val="23"/>
        </w:rPr>
        <w:t>, донорских дней и отгула, а 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диспансеризации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есть нюансы.</w:t>
      </w:r>
    </w:p>
    <w:p w14:paraId="6FA97209" w14:textId="0383534E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Обратите внимание на особенности заполнения СЗВ-СТАЖ при назначении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пенсии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4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увольнении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5288AE0B" w14:textId="38818367" w:rsidR="00263142" w:rsidRDefault="00263142" w:rsidP="00263142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12324D">
        <w:rPr>
          <w:rFonts w:ascii="PT Serif" w:hAnsi="PT Serif"/>
          <w:color w:val="0E0E0E"/>
          <w:sz w:val="23"/>
          <w:szCs w:val="23"/>
        </w:rPr>
        <w:t xml:space="preserve"> смотрите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6089AFB0" w14:textId="79C16757" w:rsidR="00263142" w:rsidRDefault="00263142" w:rsidP="00263142">
      <w:pPr>
        <w:numPr>
          <w:ilvl w:val="0"/>
          <w:numId w:val="33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4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отразить в СЗВ-СТАЖ донорские дни и отгул работника</w:t>
        </w:r>
      </w:hyperlink>
    </w:p>
    <w:p w14:paraId="1D25EF05" w14:textId="16EB1C82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СЗВ-СТАЖ за год сдайте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не позднее 1 марта</w:t>
        </w:r>
      </w:hyperlink>
      <w:r>
        <w:rPr>
          <w:rFonts w:ascii="PT Serif" w:hAnsi="PT Serif"/>
          <w:color w:val="0E0E0E"/>
          <w:sz w:val="23"/>
          <w:szCs w:val="23"/>
        </w:rPr>
        <w:t>. Если опоздаете, вас могут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оштрафовать</w:t>
        </w:r>
      </w:hyperlink>
      <w:r>
        <w:rPr>
          <w:rFonts w:ascii="PT Serif" w:hAnsi="PT Serif"/>
          <w:color w:val="0E0E0E"/>
          <w:sz w:val="23"/>
          <w:szCs w:val="23"/>
        </w:rPr>
        <w:t>. Учтите также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специальные сроки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представления отчета.</w:t>
      </w:r>
    </w:p>
    <w:p w14:paraId="534F64DD" w14:textId="272DE041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Отчет направляйте в электронной форме. На бумаге его можно подать, только если численность ваших работников за 2020 год —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10 человек или менее</w:t>
        </w:r>
      </w:hyperlink>
      <w:r>
        <w:rPr>
          <w:rFonts w:ascii="PT Serif" w:hAnsi="PT Serif"/>
          <w:color w:val="0E0E0E"/>
          <w:sz w:val="23"/>
          <w:szCs w:val="23"/>
        </w:rPr>
        <w:t>. В это количество входят и сотрудники по ГПД, если на их вознаграждения начисляются страховые взносы. За несоблюдение формата также грозит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штраф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27DD4828" w14:textId="0895408B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СЗВ-СТАЖ направляйте в ПФР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 месту регистрации</w:t>
        </w:r>
      </w:hyperlink>
      <w:r>
        <w:rPr>
          <w:rFonts w:ascii="PT Serif" w:hAnsi="PT Serif"/>
          <w:color w:val="0E0E0E"/>
          <w:sz w:val="23"/>
          <w:szCs w:val="23"/>
        </w:rPr>
        <w:t>. Если вы сдадите его вовремя, но не туда, фонд может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оштрафовать</w:t>
        </w:r>
      </w:hyperlink>
      <w:r>
        <w:rPr>
          <w:rFonts w:ascii="PT Serif" w:hAnsi="PT Serif"/>
          <w:color w:val="0E0E0E"/>
          <w:sz w:val="23"/>
          <w:szCs w:val="23"/>
        </w:rPr>
        <w:t>. Вместе с отчетом не забудьте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подать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опись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5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ОДВ-1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6F25E026" w14:textId="18A1C493" w:rsidR="00263142" w:rsidRDefault="00263142" w:rsidP="00263142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C2701D">
        <w:rPr>
          <w:rFonts w:ascii="PT Serif" w:hAnsi="PT Serif"/>
          <w:color w:val="0E0E0E"/>
          <w:sz w:val="23"/>
          <w:szCs w:val="23"/>
        </w:rPr>
        <w:t xml:space="preserve"> смотрите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1B1505CC" w14:textId="4BF9C3AE" w:rsidR="00263142" w:rsidRDefault="00263142" w:rsidP="00263142">
      <w:pPr>
        <w:numPr>
          <w:ilvl w:val="0"/>
          <w:numId w:val="34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5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Как сдать отчет СЗВ-СТАЖ</w:t>
        </w:r>
      </w:hyperlink>
    </w:p>
    <w:p w14:paraId="108C1D7B" w14:textId="0010812B" w:rsidR="00263142" w:rsidRDefault="00263142" w:rsidP="00263142">
      <w:pPr>
        <w:numPr>
          <w:ilvl w:val="0"/>
          <w:numId w:val="34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6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Штрафы за нарушения при подаче СЗВ-СТАЖ</w:t>
        </w:r>
      </w:hyperlink>
    </w:p>
    <w:p w14:paraId="6A53BE44" w14:textId="14404E78" w:rsidR="00263142" w:rsidRDefault="00263142" w:rsidP="00263142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Прежде чем подавать отчет, рекомендуем его внимательно проверить. Особое внимание уделите сведениям о застрахованных лицах, их СНИЛС, периодам и условиям работы. Если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при проверке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ПФР обнаружит расхождения или ошибки, за них также грозит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6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штраф</w:t>
        </w:r>
      </w:hyperlink>
      <w:r>
        <w:rPr>
          <w:rFonts w:ascii="PT Serif" w:hAnsi="PT Serif"/>
          <w:color w:val="0E0E0E"/>
          <w:sz w:val="23"/>
          <w:szCs w:val="23"/>
        </w:rPr>
        <w:t>. Его назначат за каждое застрахованное лицо, сведения о котором исказили. Штрафа можно </w:t>
      </w:r>
      <w:hyperlink r:id="rId6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избежать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29B71497" w14:textId="6BCD42E9" w:rsidR="00263142" w:rsidRDefault="00263142" w:rsidP="00263142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Подробности</w:t>
      </w:r>
      <w:r w:rsidR="00C2701D">
        <w:rPr>
          <w:rFonts w:ascii="PT Serif" w:hAnsi="PT Serif"/>
          <w:color w:val="0E0E0E"/>
          <w:sz w:val="23"/>
          <w:szCs w:val="23"/>
        </w:rPr>
        <w:t xml:space="preserve"> смотрите</w:t>
      </w:r>
      <w:r>
        <w:rPr>
          <w:rFonts w:ascii="PT Serif" w:hAnsi="PT Serif"/>
          <w:color w:val="0E0E0E"/>
          <w:sz w:val="23"/>
          <w:szCs w:val="23"/>
        </w:rPr>
        <w:t>:</w:t>
      </w:r>
    </w:p>
    <w:p w14:paraId="6F9DAF2F" w14:textId="00B5433F" w:rsidR="00263142" w:rsidRDefault="00263142" w:rsidP="00263142">
      <w:pPr>
        <w:numPr>
          <w:ilvl w:val="0"/>
          <w:numId w:val="3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6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 xml:space="preserve">По каким основаниям можно отменить штраф при сдаче сведений </w:t>
        </w:r>
        <w:proofErr w:type="spellStart"/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персучета</w:t>
        </w:r>
        <w:proofErr w:type="spellEnd"/>
      </w:hyperlink>
    </w:p>
    <w:p w14:paraId="0F567F1C" w14:textId="4AA679DF" w:rsidR="00263142" w:rsidRDefault="00263142" w:rsidP="00263142">
      <w:pPr>
        <w:numPr>
          <w:ilvl w:val="0"/>
          <w:numId w:val="35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6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 xml:space="preserve">Как снизить штраф за нарушения при сдаче сведений </w:t>
        </w:r>
        <w:proofErr w:type="spellStart"/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персучета</w:t>
        </w:r>
        <w:proofErr w:type="spellEnd"/>
      </w:hyperlink>
    </w:p>
    <w:sectPr w:rsidR="00263142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7492B"/>
    <w:multiLevelType w:val="multilevel"/>
    <w:tmpl w:val="7EF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A0AB1"/>
    <w:multiLevelType w:val="multilevel"/>
    <w:tmpl w:val="95E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C1098"/>
    <w:multiLevelType w:val="multilevel"/>
    <w:tmpl w:val="A13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22F29"/>
    <w:multiLevelType w:val="multilevel"/>
    <w:tmpl w:val="CD7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5394E"/>
    <w:multiLevelType w:val="multilevel"/>
    <w:tmpl w:val="6F62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75C99"/>
    <w:multiLevelType w:val="multilevel"/>
    <w:tmpl w:val="2E1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D76B7"/>
    <w:multiLevelType w:val="multilevel"/>
    <w:tmpl w:val="40E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E2A13"/>
    <w:multiLevelType w:val="multilevel"/>
    <w:tmpl w:val="928C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32199"/>
    <w:multiLevelType w:val="multilevel"/>
    <w:tmpl w:val="36B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52523"/>
    <w:multiLevelType w:val="multilevel"/>
    <w:tmpl w:val="C4C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35AD1"/>
    <w:multiLevelType w:val="multilevel"/>
    <w:tmpl w:val="83F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E254F"/>
    <w:multiLevelType w:val="multilevel"/>
    <w:tmpl w:val="0CC2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3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8"/>
  </w:num>
  <w:num w:numId="9">
    <w:abstractNumId w:val="25"/>
  </w:num>
  <w:num w:numId="10">
    <w:abstractNumId w:val="32"/>
  </w:num>
  <w:num w:numId="11">
    <w:abstractNumId w:val="30"/>
  </w:num>
  <w:num w:numId="12">
    <w:abstractNumId w:val="16"/>
  </w:num>
  <w:num w:numId="13">
    <w:abstractNumId w:val="21"/>
  </w:num>
  <w:num w:numId="14">
    <w:abstractNumId w:val="23"/>
  </w:num>
  <w:num w:numId="15">
    <w:abstractNumId w:val="34"/>
  </w:num>
  <w:num w:numId="16">
    <w:abstractNumId w:val="24"/>
  </w:num>
  <w:num w:numId="17">
    <w:abstractNumId w:val="29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27"/>
  </w:num>
  <w:num w:numId="23">
    <w:abstractNumId w:val="19"/>
  </w:num>
  <w:num w:numId="24">
    <w:abstractNumId w:val="20"/>
  </w:num>
  <w:num w:numId="25">
    <w:abstractNumId w:val="7"/>
  </w:num>
  <w:num w:numId="26">
    <w:abstractNumId w:val="33"/>
  </w:num>
  <w:num w:numId="27">
    <w:abstractNumId w:val="22"/>
  </w:num>
  <w:num w:numId="28">
    <w:abstractNumId w:val="6"/>
  </w:num>
  <w:num w:numId="29">
    <w:abstractNumId w:val="28"/>
  </w:num>
  <w:num w:numId="30">
    <w:abstractNumId w:val="11"/>
  </w:num>
  <w:num w:numId="31">
    <w:abstractNumId w:val="15"/>
  </w:num>
  <w:num w:numId="32">
    <w:abstractNumId w:val="13"/>
  </w:num>
  <w:num w:numId="33">
    <w:abstractNumId w:val="9"/>
  </w:num>
  <w:num w:numId="34">
    <w:abstractNumId w:val="14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0D151C"/>
    <w:rsid w:val="0012324D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1F7E5E"/>
    <w:rsid w:val="00221113"/>
    <w:rsid w:val="002214F3"/>
    <w:rsid w:val="00251E68"/>
    <w:rsid w:val="00263142"/>
    <w:rsid w:val="0029354D"/>
    <w:rsid w:val="002B6460"/>
    <w:rsid w:val="002C5337"/>
    <w:rsid w:val="002D04F3"/>
    <w:rsid w:val="0030601F"/>
    <w:rsid w:val="0031353D"/>
    <w:rsid w:val="003138CA"/>
    <w:rsid w:val="0031727C"/>
    <w:rsid w:val="00336D46"/>
    <w:rsid w:val="00357560"/>
    <w:rsid w:val="00387EB6"/>
    <w:rsid w:val="003B2738"/>
    <w:rsid w:val="003B6377"/>
    <w:rsid w:val="003D716A"/>
    <w:rsid w:val="003F5829"/>
    <w:rsid w:val="00404F48"/>
    <w:rsid w:val="00406049"/>
    <w:rsid w:val="00417125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C4960"/>
    <w:rsid w:val="00BD5BEC"/>
    <w:rsid w:val="00C2701D"/>
    <w:rsid w:val="00C345D0"/>
    <w:rsid w:val="00C36422"/>
    <w:rsid w:val="00C9038D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05172"/>
    <w:rsid w:val="00E121CE"/>
    <w:rsid w:val="00E27F04"/>
    <w:rsid w:val="00E47CE9"/>
    <w:rsid w:val="00E941BC"/>
    <w:rsid w:val="00EA6DDB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PBI&amp;n=243054&amp;dst=100030" TargetMode="External"/><Relationship Id="rId21" Type="http://schemas.openxmlformats.org/officeDocument/2006/relationships/hyperlink" Target="https://login.consultant.ru/link/?req=doc&amp;base=PBI&amp;n=294163&amp;dst=100001" TargetMode="External"/><Relationship Id="rId34" Type="http://schemas.openxmlformats.org/officeDocument/2006/relationships/hyperlink" Target="https://login.consultant.ru/link/?req=doc&amp;base=LAW&amp;n=402136&amp;dst=100053" TargetMode="External"/><Relationship Id="rId42" Type="http://schemas.openxmlformats.org/officeDocument/2006/relationships/hyperlink" Target="https://login.consultant.ru/link/?req=doc&amp;base=LAW&amp;n=402136&amp;dst=101719" TargetMode="External"/><Relationship Id="rId47" Type="http://schemas.openxmlformats.org/officeDocument/2006/relationships/hyperlink" Target="https://login.consultant.ru/link/?req=doc&amp;base=PBI&amp;n=243054&amp;dst=100063" TargetMode="External"/><Relationship Id="rId50" Type="http://schemas.openxmlformats.org/officeDocument/2006/relationships/hyperlink" Target="https://login.consultant.ru/link/?req=doc&amp;base=PBI&amp;n=227118&amp;dst=100017" TargetMode="External"/><Relationship Id="rId55" Type="http://schemas.openxmlformats.org/officeDocument/2006/relationships/hyperlink" Target="https://login.consultant.ru/link/?req=doc&amp;base=PBI&amp;n=291237&amp;dst=100028" TargetMode="External"/><Relationship Id="rId63" Type="http://schemas.openxmlformats.org/officeDocument/2006/relationships/hyperlink" Target="https://login.consultant.ru/link/?req=doc&amp;base=PISH&amp;n=20&amp;dst=100041" TargetMode="External"/><Relationship Id="rId7" Type="http://schemas.openxmlformats.org/officeDocument/2006/relationships/hyperlink" Target="https://login.consultant.ru/link/?req=doc&amp;base=PBI&amp;n=291239&amp;dst=100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2136&amp;dst=57" TargetMode="External"/><Relationship Id="rId29" Type="http://schemas.openxmlformats.org/officeDocument/2006/relationships/hyperlink" Target="https://login.consultant.ru/link/?req=doc&amp;base=LAW&amp;n=402136&amp;dst=100058" TargetMode="External"/><Relationship Id="rId11" Type="http://schemas.openxmlformats.org/officeDocument/2006/relationships/hyperlink" Target="https://login.consultant.ru/link/?req=doc&amp;base=LAW&amp;n=402136&amp;dst=44" TargetMode="External"/><Relationship Id="rId24" Type="http://schemas.openxmlformats.org/officeDocument/2006/relationships/hyperlink" Target="https://login.consultant.ru/link/?req=doc&amp;base=LAW&amp;n=402136&amp;dst=100052" TargetMode="External"/><Relationship Id="rId32" Type="http://schemas.openxmlformats.org/officeDocument/2006/relationships/hyperlink" Target="https://login.consultant.ru/link/?req=doc&amp;base=LAW&amp;n=402136&amp;dst=100047" TargetMode="External"/><Relationship Id="rId37" Type="http://schemas.openxmlformats.org/officeDocument/2006/relationships/hyperlink" Target="https://login.consultant.ru/link/?req=doc&amp;base=PAP&amp;n=90887&amp;dst=100001" TargetMode="External"/><Relationship Id="rId40" Type="http://schemas.openxmlformats.org/officeDocument/2006/relationships/hyperlink" Target="https://login.consultant.ru/link/?req=doc&amp;base=LAW&amp;n=402136&amp;dst=101617" TargetMode="External"/><Relationship Id="rId45" Type="http://schemas.openxmlformats.org/officeDocument/2006/relationships/hyperlink" Target="https://login.consultant.ru/link/?req=doc&amp;base=PBI&amp;n=290723&amp;dst=100022" TargetMode="External"/><Relationship Id="rId53" Type="http://schemas.openxmlformats.org/officeDocument/2006/relationships/hyperlink" Target="https://login.consultant.ru/link/?req=doc&amp;base=PBI&amp;n=243054&amp;dst=100087" TargetMode="External"/><Relationship Id="rId58" Type="http://schemas.openxmlformats.org/officeDocument/2006/relationships/hyperlink" Target="https://login.consultant.ru/link/?req=doc&amp;base=LAW&amp;n=402136&amp;dst=10008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BI&amp;n=291237&amp;dst=100008" TargetMode="External"/><Relationship Id="rId61" Type="http://schemas.openxmlformats.org/officeDocument/2006/relationships/hyperlink" Target="https://login.consultant.ru/link/?req=doc&amp;base=PISH&amp;n=53&amp;dst=100018" TargetMode="External"/><Relationship Id="rId19" Type="http://schemas.openxmlformats.org/officeDocument/2006/relationships/hyperlink" Target="https://login.consultant.ru/link/?req=doc&amp;base=PBI&amp;n=290723&amp;dst=100005" TargetMode="External"/><Relationship Id="rId14" Type="http://schemas.openxmlformats.org/officeDocument/2006/relationships/hyperlink" Target="https://login.consultant.ru/link/?req=doc&amp;base=LAW&amp;n=402136&amp;dst=100058" TargetMode="External"/><Relationship Id="rId22" Type="http://schemas.openxmlformats.org/officeDocument/2006/relationships/hyperlink" Target="https://login.consultant.ru/link/?req=doc&amp;base=PBI&amp;n=243054&amp;dst=100008" TargetMode="External"/><Relationship Id="rId27" Type="http://schemas.openxmlformats.org/officeDocument/2006/relationships/hyperlink" Target="https://login.consultant.ru/link/?req=doc&amp;base=LAW&amp;n=402136&amp;dst=100054" TargetMode="External"/><Relationship Id="rId30" Type="http://schemas.openxmlformats.org/officeDocument/2006/relationships/hyperlink" Target="https://login.consultant.ru/link/?req=doc&amp;base=LAW&amp;n=402136&amp;dst=100059" TargetMode="External"/><Relationship Id="rId35" Type="http://schemas.openxmlformats.org/officeDocument/2006/relationships/hyperlink" Target="https://login.consultant.ru/link/?req=doc&amp;base=PBI&amp;n=243054&amp;dst=100027" TargetMode="External"/><Relationship Id="rId43" Type="http://schemas.openxmlformats.org/officeDocument/2006/relationships/hyperlink" Target="https://login.consultant.ru/link/?req=doc&amp;base=PKBO&amp;n=52821&amp;dst=100005" TargetMode="External"/><Relationship Id="rId48" Type="http://schemas.openxmlformats.org/officeDocument/2006/relationships/hyperlink" Target="https://login.consultant.ru/link/?req=doc&amp;base=PBI&amp;n=243054&amp;dst=100076" TargetMode="External"/><Relationship Id="rId56" Type="http://schemas.openxmlformats.org/officeDocument/2006/relationships/hyperlink" Target="https://login.consultant.ru/link/?req=doc&amp;base=PISH&amp;n=20&amp;dst=100017" TargetMode="External"/><Relationship Id="rId64" Type="http://schemas.openxmlformats.org/officeDocument/2006/relationships/hyperlink" Target="https://login.consultant.ru/link/?req=doc&amp;base=PISH&amp;n=24&amp;dst=100001" TargetMode="External"/><Relationship Id="rId8" Type="http://schemas.openxmlformats.org/officeDocument/2006/relationships/hyperlink" Target="https://login.consultant.ru/link/?req=doc&amp;base=LAW&amp;n=402136&amp;dst=100018" TargetMode="External"/><Relationship Id="rId51" Type="http://schemas.openxmlformats.org/officeDocument/2006/relationships/hyperlink" Target="https://login.consultant.ru/link/?req=doc&amp;base=PBI&amp;n=243054&amp;dst=1000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2136&amp;dst=100054" TargetMode="External"/><Relationship Id="rId17" Type="http://schemas.openxmlformats.org/officeDocument/2006/relationships/hyperlink" Target="https://login.consultant.ru/link/?req=doc&amp;base=PBI&amp;n=294163&amp;dst=100005" TargetMode="External"/><Relationship Id="rId25" Type="http://schemas.openxmlformats.org/officeDocument/2006/relationships/hyperlink" Target="https://login.consultant.ru/link/?req=doc&amp;base=LAW&amp;n=402136&amp;dst=100053" TargetMode="External"/><Relationship Id="rId33" Type="http://schemas.openxmlformats.org/officeDocument/2006/relationships/hyperlink" Target="https://login.consultant.ru/link/?req=doc&amp;base=LAW&amp;n=402136&amp;dst=100051" TargetMode="External"/><Relationship Id="rId38" Type="http://schemas.openxmlformats.org/officeDocument/2006/relationships/hyperlink" Target="https://login.consultant.ru/link/?req=doc&amp;base=PBI&amp;n=290156&amp;dst=100005" TargetMode="External"/><Relationship Id="rId46" Type="http://schemas.openxmlformats.org/officeDocument/2006/relationships/hyperlink" Target="https://login.consultant.ru/link/?req=doc&amp;base=PBI&amp;n=290156&amp;dst=100023" TargetMode="External"/><Relationship Id="rId59" Type="http://schemas.openxmlformats.org/officeDocument/2006/relationships/hyperlink" Target="https://login.consultant.ru/link/?req=doc&amp;base=PBI&amp;n=291237&amp;dst=10000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PBI&amp;n=290874&amp;dst=100001" TargetMode="External"/><Relationship Id="rId41" Type="http://schemas.openxmlformats.org/officeDocument/2006/relationships/hyperlink" Target="https://login.consultant.ru/link/?req=doc&amp;base=PBI&amp;n=238564&amp;dst=100055" TargetMode="External"/><Relationship Id="rId54" Type="http://schemas.openxmlformats.org/officeDocument/2006/relationships/hyperlink" Target="https://login.consultant.ru/link/?req=doc&amp;base=PBI&amp;n=243054&amp;dst=100093" TargetMode="External"/><Relationship Id="rId62" Type="http://schemas.openxmlformats.org/officeDocument/2006/relationships/hyperlink" Target="https://login.consultant.ru/link/?req=doc&amp;base=PISH&amp;n=20&amp;dst=100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72&amp;dst=100638" TargetMode="External"/><Relationship Id="rId15" Type="http://schemas.openxmlformats.org/officeDocument/2006/relationships/hyperlink" Target="https://login.consultant.ru/link/?req=doc&amp;base=LAW&amp;n=402136&amp;dst=47" TargetMode="External"/><Relationship Id="rId23" Type="http://schemas.openxmlformats.org/officeDocument/2006/relationships/hyperlink" Target="https://login.consultant.ru/link/?req=doc&amp;base=LAW&amp;n=402136&amp;dst=100029" TargetMode="External"/><Relationship Id="rId28" Type="http://schemas.openxmlformats.org/officeDocument/2006/relationships/hyperlink" Target="https://login.consultant.ru/link/?req=doc&amp;base=LAW&amp;n=402136&amp;dst=100056" TargetMode="External"/><Relationship Id="rId36" Type="http://schemas.openxmlformats.org/officeDocument/2006/relationships/hyperlink" Target="https://login.consultant.ru/link/?req=doc&amp;base=PBI&amp;n=243054&amp;dst=100014" TargetMode="External"/><Relationship Id="rId49" Type="http://schemas.openxmlformats.org/officeDocument/2006/relationships/hyperlink" Target="https://login.consultant.ru/link/?req=doc&amp;base=PBI&amp;n=290249&amp;dst=100001" TargetMode="External"/><Relationship Id="rId57" Type="http://schemas.openxmlformats.org/officeDocument/2006/relationships/hyperlink" Target="https://login.consultant.ru/link/?req=doc&amp;base=PBI&amp;n=291237&amp;dst=100031" TargetMode="External"/><Relationship Id="rId10" Type="http://schemas.openxmlformats.org/officeDocument/2006/relationships/hyperlink" Target="https://login.consultant.ru/link/?req=doc&amp;base=LAW&amp;n=402136&amp;dst=51" TargetMode="External"/><Relationship Id="rId31" Type="http://schemas.openxmlformats.org/officeDocument/2006/relationships/hyperlink" Target="https://login.consultant.ru/link/?req=doc&amp;base=LAW&amp;n=402136&amp;dst=100601" TargetMode="External"/><Relationship Id="rId44" Type="http://schemas.openxmlformats.org/officeDocument/2006/relationships/hyperlink" Target="https://login.consultant.ru/link/?req=doc&amp;base=PKBO&amp;n=52821&amp;dst=100010" TargetMode="External"/><Relationship Id="rId52" Type="http://schemas.openxmlformats.org/officeDocument/2006/relationships/hyperlink" Target="https://login.consultant.ru/link/?req=doc&amp;base=PBI&amp;n=291237&amp;dst=100017" TargetMode="External"/><Relationship Id="rId60" Type="http://schemas.openxmlformats.org/officeDocument/2006/relationships/hyperlink" Target="https://login.consultant.ru/link/?req=doc&amp;base=PISH&amp;n=20&amp;dst=100001" TargetMode="External"/><Relationship Id="rId65" Type="http://schemas.openxmlformats.org/officeDocument/2006/relationships/hyperlink" Target="https://login.consultant.ru/link/?req=doc&amp;base=PISH&amp;n=23&amp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2136&amp;dst=100057" TargetMode="External"/><Relationship Id="rId13" Type="http://schemas.openxmlformats.org/officeDocument/2006/relationships/hyperlink" Target="https://login.consultant.ru/link/?req=doc&amp;base=LAW&amp;n=402136&amp;dst=100055" TargetMode="External"/><Relationship Id="rId18" Type="http://schemas.openxmlformats.org/officeDocument/2006/relationships/hyperlink" Target="https://login.consultant.ru/link/?req=doc&amp;base=PBI&amp;n=294163&amp;dst=100007" TargetMode="External"/><Relationship Id="rId39" Type="http://schemas.openxmlformats.org/officeDocument/2006/relationships/hyperlink" Target="https://login.consultant.ru/link/?req=doc&amp;base=PBI&amp;n=290156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2022-02-15T07:05:00Z</dcterms:created>
  <dcterms:modified xsi:type="dcterms:W3CDTF">2022-02-15T07:05:00Z</dcterms:modified>
</cp:coreProperties>
</file>