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EED" w14:textId="409FC044" w:rsidR="00976636" w:rsidRPr="005D55B8" w:rsidRDefault="008C0B9F" w:rsidP="005D55B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8C0B9F">
        <w:rPr>
          <w:b/>
          <w:bCs/>
          <w:iCs/>
          <w:color w:val="auto"/>
          <w:sz w:val="32"/>
          <w:szCs w:val="32"/>
          <w:lang w:eastAsia="en-US"/>
        </w:rPr>
        <w:t>Важные новости для бухгалтера</w:t>
      </w:r>
    </w:p>
    <w:p w14:paraId="6F51C86E" w14:textId="77777777" w:rsidR="00976636" w:rsidRDefault="00976636" w:rsidP="005B2081">
      <w:pPr>
        <w:rPr>
          <w:rFonts w:ascii="Arial" w:hAnsi="Arial" w:cs="Arial"/>
          <w:color w:val="000000" w:themeColor="text1"/>
        </w:rPr>
      </w:pPr>
    </w:p>
    <w:p w14:paraId="44C2B4E2" w14:textId="77777777" w:rsidR="008C0B9F" w:rsidRPr="00ED5474" w:rsidRDefault="008C0B9F" w:rsidP="008C0B9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ED5474">
        <w:rPr>
          <w:color w:val="4F81BD" w:themeColor="accent1"/>
          <w:sz w:val="28"/>
          <w:szCs w:val="28"/>
          <w:lang w:eastAsia="en-US"/>
        </w:rPr>
        <w:t>Взносы на травматизм</w:t>
      </w:r>
    </w:p>
    <w:p w14:paraId="5304A13D" w14:textId="5519036A" w:rsidR="008C0B9F" w:rsidRPr="00ED5474" w:rsidRDefault="008C0B9F" w:rsidP="008C0B9F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ED5474">
        <w:rPr>
          <w:color w:val="000000"/>
          <w:lang w:eastAsia="en-US"/>
        </w:rPr>
        <w:t>Т</w:t>
      </w:r>
      <w:r w:rsidRPr="00ED5474">
        <w:rPr>
          <w:color w:val="000000"/>
          <w:lang w:eastAsia="en-US"/>
        </w:rPr>
        <w:t>еперь страхователи сами могут определить риск попадания в план выездных проверок по взносам на травматизм. Для этого фонд разработал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5" w:history="1">
        <w:r w:rsidRPr="00ED547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примерные критерии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color w:val="000000"/>
          <w:lang w:eastAsia="en-US"/>
        </w:rPr>
        <w:t>оценки такого риска. Есть 8 критериев:</w:t>
      </w:r>
    </w:p>
    <w:p w14:paraId="73AA7F1E" w14:textId="32525352" w:rsidR="008C0B9F" w:rsidRPr="00ED5474" w:rsidRDefault="008C0B9F" w:rsidP="008C0B9F">
      <w:pPr>
        <w:numPr>
          <w:ilvl w:val="0"/>
          <w:numId w:val="9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hyperlink r:id="rId6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средняя зарплата ниже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ее среднего уровня в конкретной отрасли (по виду экономической деятельности);</w:t>
      </w:r>
    </w:p>
    <w:p w14:paraId="6EDB998E" w14:textId="2303809C" w:rsidR="008C0B9F" w:rsidRPr="00ED5474" w:rsidRDefault="008C0B9F" w:rsidP="008C0B9F">
      <w:pPr>
        <w:numPr>
          <w:ilvl w:val="0"/>
          <w:numId w:val="9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страхователь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7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не представил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в ходе камеральных проверок пояснения о несоответствии показателей деятельности или запрашиваемые документы в отделение ФСС;</w:t>
      </w:r>
    </w:p>
    <w:p w14:paraId="799EDFEF" w14:textId="7EF87E0F" w:rsidR="008C0B9F" w:rsidRPr="00ED5474" w:rsidRDefault="008C0B9F" w:rsidP="008C0B9F">
      <w:pPr>
        <w:numPr>
          <w:ilvl w:val="0"/>
          <w:numId w:val="9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hyperlink r:id="rId8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неоднократно представлял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уточненные расчеты, в которых величина базы менялась более чем на 10%;</w:t>
      </w:r>
    </w:p>
    <w:p w14:paraId="5F01BDB2" w14:textId="7B02DA98" w:rsidR="008C0B9F" w:rsidRPr="00ED5474" w:rsidRDefault="008C0B9F" w:rsidP="008C0B9F">
      <w:pPr>
        <w:numPr>
          <w:ilvl w:val="0"/>
          <w:numId w:val="9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неоднократно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9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снимался и вставал на учет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с изменением места нахождения ("миграция" между отделениями фонда);</w:t>
      </w:r>
    </w:p>
    <w:p w14:paraId="60D748D4" w14:textId="33DB127E" w:rsidR="008C0B9F" w:rsidRPr="00ED5474" w:rsidRDefault="008C0B9F" w:rsidP="008C0B9F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размер страхового тарифа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0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менялся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без изменения основного вида деятельности;</w:t>
      </w:r>
    </w:p>
    <w:p w14:paraId="3E11CDD3" w14:textId="750C2AF1" w:rsidR="008C0B9F" w:rsidRPr="00ED5474" w:rsidRDefault="008C0B9F" w:rsidP="008C0B9F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фонд оплаты труда для расчета взносов на травматизм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1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меньше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фонда оплаты труда для определения взносов на случай временной нетрудоспособности и беременности;</w:t>
      </w:r>
    </w:p>
    <w:p w14:paraId="4C11E534" w14:textId="579427D1" w:rsidR="008C0B9F" w:rsidRPr="00ED5474" w:rsidRDefault="008C0B9F" w:rsidP="008C0B9F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взносов с выплат и вознаграждений работающих инвалидов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2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начислено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в размере 60% от страхового тарифа;</w:t>
      </w:r>
    </w:p>
    <w:p w14:paraId="6592D5A7" w14:textId="3BC7D32E" w:rsidR="008C0B9F" w:rsidRDefault="008C0B9F" w:rsidP="008C0B9F">
      <w:pPr>
        <w:numPr>
          <w:ilvl w:val="0"/>
          <w:numId w:val="10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ED5474">
        <w:rPr>
          <w:sz w:val="24"/>
          <w:szCs w:val="24"/>
          <w:lang w:eastAsia="en-US"/>
        </w:rPr>
        <w:t>расходы по страхованию от несчастных случаев на производстве и профессиональных заболеваний</w:t>
      </w:r>
      <w:r>
        <w:rPr>
          <w:rFonts w:ascii="Arial" w:hAnsi="Arial" w:cs="Arial"/>
          <w:color w:val="666666"/>
          <w:sz w:val="23"/>
          <w:szCs w:val="23"/>
        </w:rPr>
        <w:t xml:space="preserve"> —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3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50% от начисленных взносов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4D1B58BC" w14:textId="77777777" w:rsidR="008C0B9F" w:rsidRPr="00ED5474" w:rsidRDefault="008C0B9F" w:rsidP="008C0B9F">
      <w:pPr>
        <w:pStyle w:val="a6"/>
        <w:shd w:val="clear" w:color="auto" w:fill="FFFFFF"/>
        <w:spacing w:line="286" w:lineRule="atLeast"/>
        <w:textAlignment w:val="baseline"/>
        <w:rPr>
          <w:color w:val="000000"/>
          <w:lang w:eastAsia="en-US"/>
        </w:rPr>
      </w:pPr>
      <w:r w:rsidRPr="00ED5474">
        <w:rPr>
          <w:color w:val="000000"/>
          <w:lang w:eastAsia="en-US"/>
        </w:rPr>
        <w:t>Отметим, для каждого критерия есть своя формула расчета.</w:t>
      </w:r>
    </w:p>
    <w:p w14:paraId="2D2801CF" w14:textId="47C88A9D" w:rsidR="008C0B9F" w:rsidRPr="00ED5474" w:rsidRDefault="008C0B9F" w:rsidP="008C0B9F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ED5474">
        <w:rPr>
          <w:color w:val="000000"/>
          <w:lang w:eastAsia="en-US"/>
        </w:rPr>
        <w:t>Фонд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4" w:history="1">
        <w:r w:rsidRPr="00ED547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советует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color w:val="000000"/>
          <w:lang w:eastAsia="en-US"/>
        </w:rPr>
        <w:t>для анализа рисков использовать 4-ФСС и РСВ.</w:t>
      </w:r>
    </w:p>
    <w:p w14:paraId="72DA300C" w14:textId="4E946EA2" w:rsidR="008C0B9F" w:rsidRPr="00ED5474" w:rsidRDefault="008C0B9F" w:rsidP="008C0B9F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ED5474">
        <w:rPr>
          <w:color w:val="000000"/>
          <w:lang w:eastAsia="en-US"/>
        </w:rPr>
        <w:t>Ранее ФСС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5" w:history="1">
        <w:r w:rsidRPr="00ED547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разъяснял</w:t>
        </w:r>
      </w:hyperlink>
      <w:r w:rsidRPr="00ED5474">
        <w:rPr>
          <w:color w:val="000000"/>
          <w:lang w:eastAsia="en-US"/>
        </w:rPr>
        <w:t>, что критерии оценки риска попадания в план проверок помогут страхователю самому выявлять и исправлять ошибки, а также анализировать риски. Это позволит ему вовремя уточнять обязательства и не нарушать законодательство о взносах на травматизм.</w:t>
      </w:r>
    </w:p>
    <w:p w14:paraId="2F652BD2" w14:textId="0A93B004" w:rsidR="00ED5474" w:rsidRDefault="00ED5474" w:rsidP="008C0B9F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</w:tblGrid>
      <w:tr w:rsidR="00ED5474" w14:paraId="76B79388" w14:textId="77777777" w:rsidTr="00ED5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C9CC83" w14:textId="1DDF4077" w:rsidR="00ED5474" w:rsidRDefault="00ED5474" w:rsidP="00ED5474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Информация ФСС РФ</w:t>
              </w:r>
            </w:hyperlink>
          </w:p>
        </w:tc>
      </w:tr>
    </w:tbl>
    <w:p w14:paraId="6C56E0A0" w14:textId="211B34F4" w:rsidR="00ED5474" w:rsidRPr="00ED5474" w:rsidRDefault="00ED5474" w:rsidP="00ED5474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proofErr w:type="spellStart"/>
      <w:r w:rsidRPr="00ED5474">
        <w:rPr>
          <w:color w:val="4F81BD" w:themeColor="accent1"/>
          <w:sz w:val="28"/>
          <w:szCs w:val="28"/>
          <w:lang w:eastAsia="en-US"/>
        </w:rPr>
        <w:t>Допвыходные</w:t>
      </w:r>
      <w:proofErr w:type="spellEnd"/>
      <w:r w:rsidRPr="00ED5474">
        <w:rPr>
          <w:color w:val="4F81BD" w:themeColor="accent1"/>
          <w:sz w:val="28"/>
          <w:szCs w:val="28"/>
          <w:lang w:eastAsia="en-US"/>
        </w:rPr>
        <w:t xml:space="preserve"> для ухода за детьми-инвалидами</w:t>
      </w:r>
      <w:r w:rsidRPr="00ED5474">
        <w:rPr>
          <w:color w:val="4F81BD" w:themeColor="accent1"/>
          <w:sz w:val="28"/>
          <w:szCs w:val="28"/>
          <w:lang w:eastAsia="en-US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 w:rsidRPr="00ED5474">
        <w:rPr>
          <w:color w:val="000000"/>
          <w:lang w:eastAsia="en-US"/>
        </w:rPr>
        <w:t>По сравнению с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7" w:history="1">
        <w:r w:rsidRPr="00ED547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порядком</w:t>
        </w:r>
      </w:hyperlink>
      <w:r>
        <w:rPr>
          <w:rFonts w:ascii="Arial" w:hAnsi="Arial" w:cs="Arial"/>
          <w:color w:val="666666"/>
          <w:sz w:val="23"/>
          <w:szCs w:val="23"/>
        </w:rPr>
        <w:t xml:space="preserve">, </w:t>
      </w:r>
      <w:r w:rsidRPr="00ED5474">
        <w:rPr>
          <w:color w:val="000000"/>
          <w:lang w:eastAsia="en-US"/>
        </w:rPr>
        <w:t>который действует в 2021 году, изменений немного. Например, добавили:</w:t>
      </w:r>
    </w:p>
    <w:p w14:paraId="5BF450BC" w14:textId="2289A0AC" w:rsidR="00ED5474" w:rsidRPr="00ED5474" w:rsidRDefault="00ED5474" w:rsidP="00ED5474">
      <w:pPr>
        <w:numPr>
          <w:ilvl w:val="0"/>
          <w:numId w:val="11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ED5474">
        <w:rPr>
          <w:sz w:val="24"/>
          <w:szCs w:val="24"/>
          <w:lang w:eastAsia="en-US"/>
        </w:rPr>
        <w:t>сроки для отказа в возмещении расходов. Фонд должен вынести мотивированное решение об отказе в течение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8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10 календарных дней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со дня получения заявления о возмещении. Затем в течение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9" w:history="1">
        <w:r w:rsidRPr="00ED5474">
          <w:rPr>
            <w:rStyle w:val="a3"/>
            <w:rFonts w:ascii="Arial" w:hAnsi="Arial" w:cs="Arial"/>
            <w:color w:val="1A0DAB"/>
            <w:bdr w:val="none" w:sz="0" w:space="0" w:color="auto" w:frame="1"/>
          </w:rPr>
          <w:t>5 рабочих дней</w:t>
        </w:r>
      </w:hyperlink>
      <w:r>
        <w:rPr>
          <w:rFonts w:ascii="Arial" w:hAnsi="Arial" w:cs="Arial"/>
          <w:color w:val="666666"/>
          <w:sz w:val="23"/>
          <w:szCs w:val="23"/>
        </w:rPr>
        <w:t> </w:t>
      </w:r>
      <w:r w:rsidRPr="00ED5474">
        <w:rPr>
          <w:sz w:val="24"/>
          <w:szCs w:val="24"/>
          <w:lang w:eastAsia="en-US"/>
        </w:rPr>
        <w:t>передать его организации лично, заказным письмом или через ТКС;</w:t>
      </w:r>
    </w:p>
    <w:p w14:paraId="46CA2AD1" w14:textId="11BE7345" w:rsidR="00ED5474" w:rsidRPr="00BA4C4F" w:rsidRDefault="00ED5474" w:rsidP="00BA4C4F">
      <w:pPr>
        <w:numPr>
          <w:ilvl w:val="0"/>
          <w:numId w:val="9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hyperlink r:id="rId20" w:history="1">
        <w:r w:rsidRPr="00BA4C4F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основания</w:t>
        </w:r>
      </w:hyperlink>
      <w:r w:rsidRPr="00BA4C4F">
        <w:rPr>
          <w:rStyle w:val="a3"/>
          <w:color w:val="1A0DAB"/>
          <w:bdr w:val="none" w:sz="0" w:space="0" w:color="auto" w:frame="1"/>
        </w:rPr>
        <w:t> </w:t>
      </w:r>
      <w:r w:rsidRPr="00BA4C4F">
        <w:rPr>
          <w:sz w:val="24"/>
          <w:szCs w:val="24"/>
          <w:lang w:eastAsia="en-US"/>
        </w:rPr>
        <w:t>для отказа. В возмещении откажут, если расходы произвели с нарушением законодательства, не подтвердили документами или оформили их неверно.</w:t>
      </w:r>
    </w:p>
    <w:p w14:paraId="2E6ABFF7" w14:textId="77777777" w:rsidR="00BA4C4F" w:rsidRDefault="00BA4C4F" w:rsidP="00BA4C4F">
      <w:pPr>
        <w:spacing w:line="286" w:lineRule="atLeast"/>
        <w:ind w:left="720"/>
        <w:jc w:val="left"/>
        <w:textAlignment w:val="baseline"/>
        <w:rPr>
          <w:sz w:val="24"/>
          <w:szCs w:val="24"/>
          <w:lang w:eastAsia="en-US"/>
        </w:rPr>
      </w:pPr>
    </w:p>
    <w:p w14:paraId="54D96AB1" w14:textId="2BD1ADE5" w:rsidR="00ED5474" w:rsidRDefault="00ED5474" w:rsidP="00BA4C4F">
      <w:pPr>
        <w:spacing w:line="286" w:lineRule="atLeast"/>
        <w:ind w:left="720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BA4C4F">
        <w:rPr>
          <w:sz w:val="24"/>
          <w:szCs w:val="24"/>
          <w:lang w:eastAsia="en-US"/>
        </w:rPr>
        <w:t>Новые правила заработают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1" w:history="1">
        <w:r w:rsidRPr="00BA4C4F">
          <w:rPr>
            <w:rStyle w:val="a3"/>
            <w:rFonts w:ascii="Arial" w:hAnsi="Arial" w:cs="Arial"/>
            <w:color w:val="1A0DAB"/>
            <w:bdr w:val="none" w:sz="0" w:space="0" w:color="auto" w:frame="1"/>
          </w:rPr>
          <w:t>с 2022 года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4B35C2AA" w14:textId="77777777" w:rsidR="00BA4C4F" w:rsidRDefault="00BA4C4F" w:rsidP="00BA4C4F">
      <w:pPr>
        <w:spacing w:line="286" w:lineRule="atLeast"/>
        <w:ind w:left="720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14:paraId="33DEEF2E" w14:textId="27E945B0" w:rsidR="00ED5474" w:rsidRPr="00BA4C4F" w:rsidRDefault="00ED5474" w:rsidP="00ED5474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BA4C4F">
        <w:rPr>
          <w:color w:val="000000"/>
          <w:lang w:eastAsia="en-US"/>
        </w:rPr>
        <w:t>Отметим, они нужны, так как со следующего года вступает в силу</w:t>
      </w:r>
      <w:r>
        <w:rPr>
          <w:rFonts w:ascii="Arial" w:hAnsi="Arial" w:cs="Arial"/>
          <w:color w:val="666666"/>
          <w:sz w:val="23"/>
          <w:szCs w:val="23"/>
        </w:rPr>
        <w:t> </w:t>
      </w:r>
      <w:hyperlink r:id="rId22" w:history="1">
        <w:r w:rsidRPr="00BA4C4F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новая редакция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BA4C4F">
        <w:rPr>
          <w:color w:val="000000"/>
          <w:lang w:eastAsia="en-US"/>
        </w:rPr>
        <w:t xml:space="preserve">нормы о финансовом обеспечении расходов на оплату </w:t>
      </w:r>
      <w:proofErr w:type="spellStart"/>
      <w:r w:rsidRPr="00BA4C4F">
        <w:rPr>
          <w:color w:val="000000"/>
          <w:lang w:eastAsia="en-US"/>
        </w:rPr>
        <w:t>допвыходных</w:t>
      </w:r>
      <w:proofErr w:type="spellEnd"/>
      <w:r w:rsidRPr="00BA4C4F">
        <w:rPr>
          <w:color w:val="000000"/>
          <w:lang w:eastAsia="en-US"/>
        </w:rPr>
        <w:t>. В ней укажут, что расходы возмещают страхователю в порядке, утвержденном правительством РФ.</w:t>
      </w:r>
    </w:p>
    <w:p w14:paraId="262DCFF0" w14:textId="77777777" w:rsidR="00BA4C4F" w:rsidRDefault="00BA4C4F" w:rsidP="00BA4C4F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</w:tblGrid>
      <w:tr w:rsidR="00BA4C4F" w14:paraId="3664418E" w14:textId="77777777" w:rsidTr="00BA4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7E8940" w14:textId="2F24E0E8" w:rsidR="00BA4C4F" w:rsidRDefault="00BA4C4F" w:rsidP="00BA4C4F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Постановление Правительства РФ от 09.08.2021 N 1320</w:t>
              </w:r>
            </w:hyperlink>
          </w:p>
        </w:tc>
      </w:tr>
      <w:tr w:rsidR="00BA4C4F" w14:paraId="42667C8E" w14:textId="77777777" w:rsidTr="00BA4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38733" w14:textId="77777777" w:rsidR="00BA4C4F" w:rsidRDefault="00BA4C4F" w:rsidP="00BA4C4F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14:paraId="79F167B7" w14:textId="77777777" w:rsidR="00BA4C4F" w:rsidRDefault="00BA4C4F" w:rsidP="00BA4C4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lang w:eastAsia="en-US"/>
        </w:rPr>
      </w:pPr>
      <w:r w:rsidRPr="00BA4C4F">
        <w:rPr>
          <w:color w:val="4F81BD" w:themeColor="accent1"/>
          <w:sz w:val="28"/>
          <w:szCs w:val="28"/>
          <w:lang w:eastAsia="en-US"/>
        </w:rPr>
        <w:t>Система быстрых платежей</w:t>
      </w:r>
      <w:r w:rsidRPr="00BA4C4F">
        <w:rPr>
          <w:color w:val="4F81BD" w:themeColor="accent1"/>
          <w:sz w:val="28"/>
          <w:szCs w:val="28"/>
          <w:lang w:eastAsia="en-US"/>
        </w:rPr>
        <w:br/>
      </w:r>
    </w:p>
    <w:p w14:paraId="036D5796" w14:textId="50A7F272" w:rsidR="00BA4C4F" w:rsidRPr="00BA4C4F" w:rsidRDefault="00BA4C4F" w:rsidP="00BA4C4F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BA4C4F">
        <w:rPr>
          <w:color w:val="000000"/>
          <w:lang w:eastAsia="en-US"/>
        </w:rPr>
        <w:t>Субъекты малого или среднего предпринимательства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4" w:history="1">
        <w:r w:rsidRPr="00BA4C4F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могут вернуть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BA4C4F">
        <w:rPr>
          <w:color w:val="000000"/>
          <w:lang w:eastAsia="en-US"/>
        </w:rPr>
        <w:t>комиссию, которую они заплатили банку за прием платежей физлиц начиная с 1 июля. Минэкономразвития сформировало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5" w:history="1">
        <w:r w:rsidRPr="00BA4C4F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список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BA4C4F">
        <w:rPr>
          <w:color w:val="000000"/>
          <w:lang w:eastAsia="en-US"/>
        </w:rPr>
        <w:t>таких банков. В него вошли, к примеру, Сбербанк, ВТБ, Альфа-Банк и Тинькофф Банк.</w:t>
      </w:r>
    </w:p>
    <w:p w14:paraId="14C5D2F0" w14:textId="7D5E549C" w:rsidR="00BA4C4F" w:rsidRDefault="00BA4C4F" w:rsidP="00BA4C4F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BA4C4F">
        <w:rPr>
          <w:color w:val="000000"/>
          <w:lang w:eastAsia="en-US"/>
        </w:rPr>
        <w:t>Эти банки получат субсидию и займутся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6" w:history="1">
        <w:r w:rsidRPr="00BA4C4F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выплатой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BA4C4F">
        <w:rPr>
          <w:color w:val="000000"/>
          <w:lang w:eastAsia="en-US"/>
        </w:rPr>
        <w:t>компенсаций. Возвращать комиссию будут по платежам, совершенным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7" w:history="1">
        <w:r w:rsidRPr="00BA4C4F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до конца года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27E4A78B" w14:textId="77777777" w:rsidR="00BA4C4F" w:rsidRDefault="00BA4C4F" w:rsidP="00BA4C4F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</w:tblGrid>
      <w:tr w:rsidR="00BA4C4F" w14:paraId="6DF4A9E0" w14:textId="77777777" w:rsidTr="00BA4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880DF" w14:textId="77777777" w:rsidR="00BA4C4F" w:rsidRDefault="00BA4C4F" w:rsidP="00BA4C4F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Информация Минэкономразвития России от 10.08.2021</w:t>
              </w:r>
            </w:hyperlink>
          </w:p>
        </w:tc>
      </w:tr>
    </w:tbl>
    <w:p w14:paraId="7D0D828B" w14:textId="77777777" w:rsidR="00BA4C4F" w:rsidRDefault="00BA4C4F" w:rsidP="00BA4C4F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5F91362F" w14:textId="299610C1" w:rsidR="008C0B9F" w:rsidRPr="00BA4C4F" w:rsidRDefault="008C0B9F" w:rsidP="00BA4C4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F81BD" w:themeColor="accent1"/>
          <w:sz w:val="28"/>
          <w:szCs w:val="28"/>
          <w:lang w:eastAsia="en-US"/>
        </w:rPr>
      </w:pPr>
      <w:r w:rsidRPr="00BA4C4F">
        <w:rPr>
          <w:color w:val="4F81BD" w:themeColor="accent1"/>
          <w:sz w:val="28"/>
          <w:szCs w:val="28"/>
          <w:lang w:eastAsia="en-US"/>
        </w:rPr>
        <w:t>Доверенность представителя</w:t>
      </w:r>
    </w:p>
    <w:p w14:paraId="54C2BE95" w14:textId="36E72764" w:rsidR="00122924" w:rsidRPr="00122924" w:rsidRDefault="00122924" w:rsidP="00122924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hyperlink r:id="rId29" w:history="1">
        <w:r w:rsidRPr="0012292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Формат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122924">
        <w:rPr>
          <w:color w:val="000000"/>
          <w:lang w:eastAsia="en-US"/>
        </w:rPr>
        <w:t>могут использовать также плательщики сборов, страховых взносов и налоговые агенты. Он нужен для передачи доверенности в электронном виде. Ведомство подготовило также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0" w:history="1">
        <w:r w:rsidRPr="0012292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порядок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122924">
        <w:rPr>
          <w:color w:val="000000"/>
          <w:lang w:eastAsia="en-US"/>
        </w:rPr>
        <w:t>ее направления по ТКС.</w:t>
      </w:r>
    </w:p>
    <w:p w14:paraId="4E163F0F" w14:textId="3D13AA0F" w:rsidR="00122924" w:rsidRPr="00122924" w:rsidRDefault="00122924" w:rsidP="00122924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122924">
        <w:rPr>
          <w:color w:val="000000"/>
          <w:lang w:eastAsia="en-US"/>
        </w:rPr>
        <w:t>Доверенность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1" w:history="1">
        <w:r w:rsidRPr="0012292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передают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122924">
        <w:rPr>
          <w:color w:val="000000"/>
          <w:lang w:eastAsia="en-US"/>
        </w:rPr>
        <w:t>до начала электронного документооборота с представителем. Документ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2" w:history="1">
        <w:r w:rsidRPr="00122924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направляют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122924">
        <w:rPr>
          <w:color w:val="000000"/>
          <w:lang w:eastAsia="en-US"/>
        </w:rPr>
        <w:t>с усиленной квалифицированной ЭП в инспекцию, где доверитель стоит на учете по любому основанию.</w:t>
      </w:r>
    </w:p>
    <w:p w14:paraId="467DEFA0" w14:textId="13A4A20F" w:rsidR="00122924" w:rsidRPr="00122924" w:rsidRDefault="00122924" w:rsidP="00122924">
      <w:pPr>
        <w:pStyle w:val="a6"/>
        <w:shd w:val="clear" w:color="auto" w:fill="FFFFFF"/>
        <w:spacing w:line="286" w:lineRule="atLeast"/>
        <w:textAlignment w:val="baseline"/>
        <w:rPr>
          <w:color w:val="000000"/>
          <w:lang w:eastAsia="en-US"/>
        </w:rPr>
      </w:pPr>
      <w:r w:rsidRPr="00122924">
        <w:rPr>
          <w:color w:val="000000"/>
          <w:lang w:eastAsia="en-US"/>
        </w:rPr>
        <w:t>Формат действует с 22 августа.</w:t>
      </w:r>
    </w:p>
    <w:p w14:paraId="02D155BF" w14:textId="77777777" w:rsidR="00122924" w:rsidRDefault="00122924" w:rsidP="00122924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</w:tblGrid>
      <w:tr w:rsidR="00122924" w14:paraId="30759964" w14:textId="77777777" w:rsidTr="001229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4AED12" w14:textId="4535EBB1" w:rsidR="00122924" w:rsidRDefault="00122924" w:rsidP="00122924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Приказ ФНС России от 30.04.2021 N ЕД-7-26/445@</w:t>
              </w:r>
            </w:hyperlink>
          </w:p>
        </w:tc>
      </w:tr>
    </w:tbl>
    <w:p w14:paraId="2DE9D35F" w14:textId="5CE70961" w:rsidR="00122924" w:rsidRDefault="00122924" w:rsidP="00122924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sectPr w:rsidR="00122924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409E8"/>
    <w:multiLevelType w:val="multilevel"/>
    <w:tmpl w:val="868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53E87"/>
    <w:multiLevelType w:val="multilevel"/>
    <w:tmpl w:val="F7A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07323"/>
    <w:multiLevelType w:val="multilevel"/>
    <w:tmpl w:val="B95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22924"/>
    <w:rsid w:val="00155CE5"/>
    <w:rsid w:val="00190853"/>
    <w:rsid w:val="001B58F9"/>
    <w:rsid w:val="001E2F82"/>
    <w:rsid w:val="001E5AA0"/>
    <w:rsid w:val="001F73D0"/>
    <w:rsid w:val="00221113"/>
    <w:rsid w:val="002B6460"/>
    <w:rsid w:val="002C5337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0B9F"/>
    <w:rsid w:val="008C7184"/>
    <w:rsid w:val="008E6571"/>
    <w:rsid w:val="008F4E91"/>
    <w:rsid w:val="00962CF9"/>
    <w:rsid w:val="00974E07"/>
    <w:rsid w:val="0097663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37068"/>
    <w:rsid w:val="00B62277"/>
    <w:rsid w:val="00BA4C4F"/>
    <w:rsid w:val="00BB5614"/>
    <w:rsid w:val="00BD5BEC"/>
    <w:rsid w:val="00C345D0"/>
    <w:rsid w:val="00C97E9C"/>
    <w:rsid w:val="00CB4EE1"/>
    <w:rsid w:val="00CC7452"/>
    <w:rsid w:val="00CE6684"/>
    <w:rsid w:val="00D37327"/>
    <w:rsid w:val="00D377B6"/>
    <w:rsid w:val="00D56AFE"/>
    <w:rsid w:val="00DF2F3A"/>
    <w:rsid w:val="00E121CE"/>
    <w:rsid w:val="00E47CE9"/>
    <w:rsid w:val="00E941BC"/>
    <w:rsid w:val="00ED5474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2529&amp;dst=100035" TargetMode="External"/><Relationship Id="rId18" Type="http://schemas.openxmlformats.org/officeDocument/2006/relationships/hyperlink" Target="https://login.consultant.ru/link/?req=doc&amp;base=LAW&amp;n=392669&amp;dst=100017" TargetMode="External"/><Relationship Id="rId26" Type="http://schemas.openxmlformats.org/officeDocument/2006/relationships/hyperlink" Target="https://login.consultant.ru/link/?req=doc&amp;base=LAW&amp;n=390233&amp;dst=100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2669&amp;dst=10000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92529&amp;dst=100012" TargetMode="External"/><Relationship Id="rId12" Type="http://schemas.openxmlformats.org/officeDocument/2006/relationships/hyperlink" Target="https://login.consultant.ru/link/?req=doc&amp;base=LAW&amp;n=392529&amp;dst=100032" TargetMode="External"/><Relationship Id="rId17" Type="http://schemas.openxmlformats.org/officeDocument/2006/relationships/hyperlink" Target="https://login.consultant.ru/link/?req=doc&amp;base=LAW&amp;n=373107&amp;dst=100049" TargetMode="External"/><Relationship Id="rId25" Type="http://schemas.openxmlformats.org/officeDocument/2006/relationships/hyperlink" Target="https://www.economy.gov.ru/material/file/6b648936ba7c3796230e494473005486/spichok_bankov_v_sbp.pdf" TargetMode="External"/><Relationship Id="rId33" Type="http://schemas.openxmlformats.org/officeDocument/2006/relationships/hyperlink" Target="https://login.consultant.ru/link/?req=doc&amp;base=LAW&amp;n=392698&amp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2529&amp;dst=100004" TargetMode="External"/><Relationship Id="rId20" Type="http://schemas.openxmlformats.org/officeDocument/2006/relationships/hyperlink" Target="https://login.consultant.ru/link/?req=doc&amp;base=LAW&amp;n=392669&amp;dst=100017" TargetMode="External"/><Relationship Id="rId29" Type="http://schemas.openxmlformats.org/officeDocument/2006/relationships/hyperlink" Target="https://login.consultant.ru/link/?req=doc&amp;base=LAW&amp;n=392698&amp;dst=100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2529&amp;dst=100006" TargetMode="External"/><Relationship Id="rId11" Type="http://schemas.openxmlformats.org/officeDocument/2006/relationships/hyperlink" Target="https://login.consultant.ru/link/?req=doc&amp;base=LAW&amp;n=392529&amp;dst=100028" TargetMode="External"/><Relationship Id="rId24" Type="http://schemas.openxmlformats.org/officeDocument/2006/relationships/hyperlink" Target="https://login.consultant.ru/link/?req=doc&amp;base=LAW&amp;n=390233&amp;dst=100041" TargetMode="External"/><Relationship Id="rId32" Type="http://schemas.openxmlformats.org/officeDocument/2006/relationships/hyperlink" Target="https://login.consultant.ru/link/?req=doc&amp;base=LAW&amp;n=392698&amp;dst=100618" TargetMode="External"/><Relationship Id="rId5" Type="http://schemas.openxmlformats.org/officeDocument/2006/relationships/hyperlink" Target="https://login.consultant.ru/link/?req=doc&amp;base=LAW&amp;n=392529&amp;dst=100004" TargetMode="External"/><Relationship Id="rId15" Type="http://schemas.openxmlformats.org/officeDocument/2006/relationships/hyperlink" Target="https://login.consultant.ru/link/?req=doc&amp;base=LAW&amp;n=392240&amp;dst=100008" TargetMode="External"/><Relationship Id="rId23" Type="http://schemas.openxmlformats.org/officeDocument/2006/relationships/hyperlink" Target="https://login.consultant.ru/link/?req=doc&amp;base=LAW&amp;n=392669&amp;dst=100009" TargetMode="External"/><Relationship Id="rId28" Type="http://schemas.openxmlformats.org/officeDocument/2006/relationships/hyperlink" Target="https://storage.consultant.ru/ondb/attachments/202108/11/Resetnikov__53_banka_kompensiruut_biznesu_100_komissii_za_bystrye_platezi___Ministerstvo_ekonomiceskogo_razvitia_Rossijskoj_Federacii_lgm.pdf" TargetMode="External"/><Relationship Id="rId10" Type="http://schemas.openxmlformats.org/officeDocument/2006/relationships/hyperlink" Target="https://login.consultant.ru/link/?req=doc&amp;base=LAW&amp;n=392529&amp;dst=100024" TargetMode="External"/><Relationship Id="rId19" Type="http://schemas.openxmlformats.org/officeDocument/2006/relationships/hyperlink" Target="https://login.consultant.ru/link/?req=doc&amp;base=LAW&amp;n=392669&amp;dst=100018" TargetMode="External"/><Relationship Id="rId31" Type="http://schemas.openxmlformats.org/officeDocument/2006/relationships/hyperlink" Target="https://login.consultant.ru/link/?req=doc&amp;base=LAW&amp;n=392698&amp;dst=10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529&amp;dst=100021" TargetMode="External"/><Relationship Id="rId14" Type="http://schemas.openxmlformats.org/officeDocument/2006/relationships/hyperlink" Target="https://login.consultant.ru/link/?req=doc&amp;base=LAW&amp;n=392529&amp;dst=100005" TargetMode="External"/><Relationship Id="rId22" Type="http://schemas.openxmlformats.org/officeDocument/2006/relationships/hyperlink" Target="https://login.consultant.ru/link/?req=doc&amp;base=LAW&amp;n=383500&amp;dst=23" TargetMode="External"/><Relationship Id="rId27" Type="http://schemas.openxmlformats.org/officeDocument/2006/relationships/hyperlink" Target="https://login.consultant.ru/link/?req=doc&amp;base=LAW&amp;n=390233&amp;dst=100041" TargetMode="External"/><Relationship Id="rId30" Type="http://schemas.openxmlformats.org/officeDocument/2006/relationships/hyperlink" Target="https://login.consultant.ru/link/?req=doc&amp;base=LAW&amp;n=392698&amp;dst=1000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92529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2021-08-16T06:36:00Z</dcterms:created>
  <dcterms:modified xsi:type="dcterms:W3CDTF">2021-08-16T06:36:00Z</dcterms:modified>
</cp:coreProperties>
</file>