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81D0" w14:textId="2DE3834A" w:rsidR="00CE164F" w:rsidRPr="00CE164F" w:rsidRDefault="007F341B" w:rsidP="00CE164F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 w:rsidRPr="007F341B">
        <w:rPr>
          <w:b/>
          <w:bCs/>
          <w:iCs/>
          <w:color w:val="auto"/>
          <w:sz w:val="32"/>
          <w:szCs w:val="32"/>
          <w:lang w:eastAsia="en-US"/>
        </w:rPr>
        <w:t>Снижение зарплаты: интересные споры за 2020‒2021 годы</w:t>
      </w:r>
      <w:r w:rsidRPr="007F341B">
        <w:rPr>
          <w:b/>
          <w:bCs/>
          <w:iCs/>
          <w:color w:val="auto"/>
          <w:sz w:val="32"/>
          <w:szCs w:val="32"/>
          <w:lang w:eastAsia="en-US"/>
        </w:rPr>
        <w:br/>
      </w:r>
    </w:p>
    <w:p w14:paraId="3862C642" w14:textId="6EC65B4C" w:rsidR="007F341B" w:rsidRDefault="007F341B" w:rsidP="007F341B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7F341B">
        <w:rPr>
          <w:sz w:val="24"/>
          <w:szCs w:val="24"/>
          <w:lang w:eastAsia="en-US"/>
        </w:rPr>
        <w:t>Можно ли уменьшить оклад сотрудника, если часть его функций отдали сторонней организации? Полагается ли премия тому, кто уже не в штате? Практика по зарплатным спорам неоднородна. Разберем примеры такой практики в нашем материале.</w:t>
      </w:r>
    </w:p>
    <w:p w14:paraId="4AA95CC8" w14:textId="77777777" w:rsidR="007F341B" w:rsidRPr="007F341B" w:rsidRDefault="007F341B" w:rsidP="007F341B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405C957D" w14:textId="77777777" w:rsidR="007F341B" w:rsidRPr="007F341B" w:rsidRDefault="007F341B" w:rsidP="007F341B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7F341B">
        <w:rPr>
          <w:color w:val="4F81BD" w:themeColor="accent1"/>
          <w:sz w:val="28"/>
          <w:szCs w:val="28"/>
          <w:lang w:eastAsia="en-US"/>
        </w:rPr>
        <w:t>Снижение окладов из-за организационных или технологических изменений</w:t>
      </w:r>
    </w:p>
    <w:p w14:paraId="3ADFA923" w14:textId="77777777" w:rsidR="007F341B" w:rsidRDefault="007F341B" w:rsidP="007F341B">
      <w:pPr>
        <w:pStyle w:val="a6"/>
        <w:shd w:val="clear" w:color="auto" w:fill="FFFFFF"/>
        <w:spacing w:line="286" w:lineRule="atLeast"/>
        <w:textAlignment w:val="baseline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Суды обычно оценивают:</w:t>
      </w:r>
    </w:p>
    <w:p w14:paraId="31687D8E" w14:textId="77777777" w:rsidR="007F341B" w:rsidRDefault="007F341B" w:rsidP="007F341B">
      <w:pPr>
        <w:numPr>
          <w:ilvl w:val="0"/>
          <w:numId w:val="11"/>
        </w:numPr>
        <w:spacing w:before="100" w:beforeAutospacing="1" w:after="100" w:afterAutospacing="1" w:line="286" w:lineRule="atLeast"/>
        <w:jc w:val="left"/>
        <w:textAlignment w:val="baseline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в чем заключалось изменение организационных или технологических условий труда;</w:t>
      </w:r>
    </w:p>
    <w:p w14:paraId="10A58243" w14:textId="77777777" w:rsidR="007F341B" w:rsidRDefault="007F341B" w:rsidP="007F341B">
      <w:pPr>
        <w:numPr>
          <w:ilvl w:val="0"/>
          <w:numId w:val="11"/>
        </w:numPr>
        <w:spacing w:before="100" w:beforeAutospacing="1" w:after="100" w:afterAutospacing="1" w:line="286" w:lineRule="atLeast"/>
        <w:jc w:val="left"/>
        <w:textAlignment w:val="baseline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не затронута ли трудовая функция работника;</w:t>
      </w:r>
    </w:p>
    <w:p w14:paraId="3882F75E" w14:textId="77777777" w:rsidR="007F341B" w:rsidRDefault="007F341B" w:rsidP="007F341B">
      <w:pPr>
        <w:numPr>
          <w:ilvl w:val="0"/>
          <w:numId w:val="11"/>
        </w:numPr>
        <w:spacing w:before="100" w:beforeAutospacing="1" w:after="100" w:afterAutospacing="1" w:line="286" w:lineRule="atLeast"/>
        <w:jc w:val="left"/>
        <w:textAlignment w:val="baseline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нет ли скрытого сокращения.</w:t>
      </w:r>
    </w:p>
    <w:p w14:paraId="13589F60" w14:textId="5E594D54" w:rsidR="007F341B" w:rsidRDefault="007F341B" w:rsidP="007F341B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7F341B">
        <w:rPr>
          <w:color w:val="4F81BD" w:themeColor="accent1"/>
          <w:sz w:val="28"/>
          <w:szCs w:val="28"/>
          <w:lang w:eastAsia="en-US"/>
        </w:rPr>
        <w:t>Практика не в пользу работодателя</w:t>
      </w:r>
    </w:p>
    <w:p w14:paraId="49E6F1A1" w14:textId="7849D40D" w:rsidR="007F341B" w:rsidRDefault="007F341B" w:rsidP="007F341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Начальнику юридического отдела снизили оклад из-за уменьшения нагрузки. Часть функций передали сторонней организации. Суд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не согласился</w:t>
      </w:r>
      <w:r>
        <w:rPr>
          <w:rFonts w:ascii="Arial" w:hAnsi="Arial" w:cs="Arial"/>
          <w:color w:val="0E0E0E"/>
          <w:sz w:val="23"/>
          <w:szCs w:val="23"/>
        </w:rPr>
        <w:t>, что это организационные изменения условий труда. Фактически речь шла о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сокращении</w:t>
      </w:r>
      <w:r>
        <w:rPr>
          <w:rFonts w:ascii="Arial" w:hAnsi="Arial" w:cs="Arial"/>
          <w:color w:val="0E0E0E"/>
          <w:sz w:val="23"/>
          <w:szCs w:val="23"/>
        </w:rPr>
        <w:t>.</w:t>
      </w:r>
    </w:p>
    <w:p w14:paraId="3BD07977" w14:textId="462B3DAC" w:rsidR="007F341B" w:rsidRDefault="007F341B" w:rsidP="007F341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Общество решило оптимизировать структуру, взять в лизинг транспорт, нанять новых водителей, а действующему сотруднику уменьшить оклад. Кассация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не поддержала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>
        <w:rPr>
          <w:rFonts w:ascii="Arial" w:hAnsi="Arial" w:cs="Arial"/>
          <w:color w:val="0E0E0E"/>
          <w:sz w:val="23"/>
          <w:szCs w:val="23"/>
        </w:rPr>
        <w:t>компанию.</w:t>
      </w:r>
    </w:p>
    <w:p w14:paraId="47D0AB1D" w14:textId="30779C9E" w:rsidR="007F341B" w:rsidRDefault="007F341B" w:rsidP="007F341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В другом случае работодателю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не по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м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огли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>
        <w:rPr>
          <w:rFonts w:ascii="Arial" w:hAnsi="Arial" w:cs="Arial"/>
          <w:color w:val="0E0E0E"/>
          <w:sz w:val="23"/>
          <w:szCs w:val="23"/>
        </w:rPr>
        <w:t>ссылки на введение новой системы оплаты труда и тяжелое финансовое положение. Должностную инструкцию работника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не изменили</w:t>
      </w:r>
      <w:r>
        <w:rPr>
          <w:rFonts w:ascii="Arial" w:hAnsi="Arial" w:cs="Arial"/>
          <w:color w:val="0E0E0E"/>
          <w:sz w:val="23"/>
          <w:szCs w:val="23"/>
        </w:rPr>
        <w:t>, нагрузку не уменьшили.</w:t>
      </w:r>
    </w:p>
    <w:p w14:paraId="2B414C0E" w14:textId="46861E81" w:rsidR="007F341B" w:rsidRDefault="007F341B" w:rsidP="007F341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В ситуации, когда оклад снизили в 2 раза и значительно сократили обязанности, суд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р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е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шил</w:t>
      </w:r>
      <w:r>
        <w:rPr>
          <w:rFonts w:ascii="Arial" w:hAnsi="Arial" w:cs="Arial"/>
          <w:color w:val="0E0E0E"/>
          <w:sz w:val="23"/>
          <w:szCs w:val="23"/>
        </w:rPr>
        <w:t>, что изменилась трудовая функция. А ее на основе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hyperlink r:id="rId5" w:history="1">
        <w:r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ст. 74</w:t>
        </w:r>
        <w:r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 xml:space="preserve"> </w:t>
        </w:r>
        <w:r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ТК РФ</w:t>
        </w:r>
      </w:hyperlink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>
        <w:rPr>
          <w:rFonts w:ascii="Arial" w:hAnsi="Arial" w:cs="Arial"/>
          <w:color w:val="0E0E0E"/>
          <w:sz w:val="23"/>
          <w:szCs w:val="23"/>
        </w:rPr>
        <w:t>менять нельзя.</w:t>
      </w:r>
    </w:p>
    <w:p w14:paraId="030F8ABC" w14:textId="14916AC5" w:rsidR="007F341B" w:rsidRDefault="007F341B" w:rsidP="007F341B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7F341B">
        <w:rPr>
          <w:color w:val="4F81BD" w:themeColor="accent1"/>
          <w:sz w:val="28"/>
          <w:szCs w:val="28"/>
          <w:lang w:eastAsia="en-US"/>
        </w:rPr>
        <w:t>Практика в пользу работодателя</w:t>
      </w:r>
    </w:p>
    <w:p w14:paraId="0649F304" w14:textId="6588C7CE" w:rsidR="007F341B" w:rsidRDefault="007F341B" w:rsidP="007F341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В компании изменили порядок управления, организационную структуру и штатное расписание. Часть функций передали управляющей организации. Из-за этого снизилась сложность и интенсивность труда работников, которые занимались стратегическим планированием. Уменьшение оклада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приз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н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али законным</w:t>
      </w:r>
      <w:r>
        <w:rPr>
          <w:rFonts w:ascii="Arial" w:hAnsi="Arial" w:cs="Arial"/>
          <w:color w:val="0E0E0E"/>
          <w:sz w:val="23"/>
          <w:szCs w:val="23"/>
        </w:rPr>
        <w:t>.</w:t>
      </w:r>
    </w:p>
    <w:p w14:paraId="5DFC9414" w14:textId="192395A6" w:rsidR="007F341B" w:rsidRDefault="007F341B" w:rsidP="007F341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В случае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структурной ре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о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рганизации</w:t>
      </w:r>
      <w:r>
        <w:rPr>
          <w:rFonts w:ascii="Arial" w:hAnsi="Arial" w:cs="Arial"/>
          <w:color w:val="0E0E0E"/>
          <w:sz w:val="23"/>
          <w:szCs w:val="23"/>
        </w:rPr>
        <w:t>, когда одно общество присоединилось к другому, работник из руководящего состава не согласился с понижением оклада. Его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уволили</w:t>
      </w:r>
      <w:r>
        <w:rPr>
          <w:rFonts w:ascii="Arial" w:hAnsi="Arial" w:cs="Arial"/>
          <w:color w:val="0E0E0E"/>
          <w:sz w:val="23"/>
          <w:szCs w:val="23"/>
        </w:rPr>
        <w:t>. Подход работодателя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устоял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>
        <w:rPr>
          <w:rFonts w:ascii="Arial" w:hAnsi="Arial" w:cs="Arial"/>
          <w:color w:val="0E0E0E"/>
          <w:sz w:val="23"/>
          <w:szCs w:val="23"/>
        </w:rPr>
        <w:t>в суде.</w:t>
      </w:r>
    </w:p>
    <w:p w14:paraId="3DC9B9DE" w14:textId="2D06170C" w:rsidR="007F341B" w:rsidRDefault="007F341B" w:rsidP="007F341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Объем работы главбуха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уменьшился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>
        <w:rPr>
          <w:rFonts w:ascii="Arial" w:hAnsi="Arial" w:cs="Arial"/>
          <w:color w:val="0E0E0E"/>
          <w:sz w:val="23"/>
          <w:szCs w:val="23"/>
        </w:rPr>
        <w:t>из-за присоединения к системе обработки платежей. Работодатель снизил оклад, но трудовая функция осталась прежней. Суды его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поддержали</w:t>
      </w:r>
      <w:r>
        <w:rPr>
          <w:rFonts w:ascii="Arial" w:hAnsi="Arial" w:cs="Arial"/>
          <w:color w:val="0E0E0E"/>
          <w:sz w:val="23"/>
          <w:szCs w:val="23"/>
        </w:rPr>
        <w:t>.</w:t>
      </w:r>
    </w:p>
    <w:p w14:paraId="7EEC58CE" w14:textId="77777777" w:rsidR="007F341B" w:rsidRPr="007F341B" w:rsidRDefault="007F341B" w:rsidP="007F341B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7F341B">
        <w:rPr>
          <w:color w:val="4F81BD" w:themeColor="accent1"/>
          <w:sz w:val="28"/>
          <w:szCs w:val="28"/>
          <w:lang w:eastAsia="en-US"/>
        </w:rPr>
        <w:t>Лишение премии</w:t>
      </w:r>
    </w:p>
    <w:p w14:paraId="4C17CAE6" w14:textId="77777777" w:rsidR="007F341B" w:rsidRPr="007F341B" w:rsidRDefault="007F341B" w:rsidP="007F341B">
      <w:pPr>
        <w:pStyle w:val="3"/>
        <w:shd w:val="clear" w:color="auto" w:fill="FFFFFF"/>
        <w:spacing w:before="0" w:after="0" w:line="286" w:lineRule="atLeast"/>
        <w:textAlignment w:val="baseline"/>
        <w:rPr>
          <w:rFonts w:ascii="Arial" w:hAnsi="Arial" w:cs="Arial"/>
          <w:color w:val="0E0E0E"/>
          <w:sz w:val="20"/>
          <w:szCs w:val="20"/>
        </w:rPr>
      </w:pPr>
      <w:r w:rsidRPr="007F341B">
        <w:rPr>
          <w:rStyle w:val="a7"/>
          <w:rFonts w:ascii="Arial" w:hAnsi="Arial" w:cs="Arial"/>
          <w:b/>
          <w:bCs/>
          <w:color w:val="0E0E0E"/>
          <w:sz w:val="20"/>
          <w:szCs w:val="20"/>
          <w:bdr w:val="none" w:sz="0" w:space="0" w:color="auto" w:frame="1"/>
        </w:rPr>
        <w:t>Премии в период работы</w:t>
      </w:r>
    </w:p>
    <w:p w14:paraId="47CFC155" w14:textId="77777777" w:rsidR="007F341B" w:rsidRDefault="007F341B" w:rsidP="007F341B">
      <w:pPr>
        <w:pStyle w:val="a6"/>
        <w:shd w:val="clear" w:color="auto" w:fill="FFFFFF"/>
        <w:spacing w:line="286" w:lineRule="atLeast"/>
        <w:textAlignment w:val="baseline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lastRenderedPageBreak/>
        <w:t>Часто суды не взыскивают премии, ссылаясь на то, что их выплата — право, а не обязанность работодателя. Однако есть практика и в пользу работников.</w:t>
      </w:r>
    </w:p>
    <w:p w14:paraId="0838A350" w14:textId="77777777" w:rsidR="007F341B" w:rsidRDefault="007F341B" w:rsidP="007F341B">
      <w:pPr>
        <w:pStyle w:val="a6"/>
        <w:shd w:val="clear" w:color="auto" w:fill="FFFFFF"/>
        <w:spacing w:line="286" w:lineRule="atLeast"/>
        <w:textAlignment w:val="baseline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Суды поддерживали их в случаях, когда работодатель:</w:t>
      </w:r>
    </w:p>
    <w:p w14:paraId="7FDDE7D6" w14:textId="29492AF9" w:rsidR="007F341B" w:rsidRDefault="007F341B" w:rsidP="007F341B">
      <w:pPr>
        <w:numPr>
          <w:ilvl w:val="0"/>
          <w:numId w:val="12"/>
        </w:numPr>
        <w:spacing w:beforeAutospacing="1" w:afterAutospacing="1" w:line="286" w:lineRule="atLeast"/>
        <w:jc w:val="left"/>
        <w:textAlignment w:val="baseline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установил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коллективные премии</w:t>
      </w:r>
      <w:r>
        <w:rPr>
          <w:rFonts w:ascii="Arial" w:hAnsi="Arial" w:cs="Arial"/>
          <w:color w:val="0E0E0E"/>
          <w:sz w:val="23"/>
          <w:szCs w:val="23"/>
        </w:rPr>
        <w:t>, но выплатил их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не всем</w:t>
      </w:r>
      <w:r>
        <w:rPr>
          <w:rFonts w:ascii="Arial" w:hAnsi="Arial" w:cs="Arial"/>
          <w:color w:val="0E0E0E"/>
          <w:sz w:val="23"/>
          <w:szCs w:val="23"/>
        </w:rPr>
        <w:t>;</w:t>
      </w:r>
    </w:p>
    <w:p w14:paraId="7F13EA49" w14:textId="314C84F1" w:rsidR="007F341B" w:rsidRDefault="007F341B" w:rsidP="007F341B">
      <w:pPr>
        <w:numPr>
          <w:ilvl w:val="0"/>
          <w:numId w:val="12"/>
        </w:numPr>
        <w:spacing w:beforeAutospacing="1" w:afterAutospacing="1" w:line="286" w:lineRule="atLeast"/>
        <w:jc w:val="left"/>
        <w:textAlignment w:val="baseline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лишил премии за грубое нарушение, хотя их перечень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не зафиксировал</w:t>
      </w:r>
      <w:r>
        <w:rPr>
          <w:rFonts w:ascii="Arial" w:hAnsi="Arial" w:cs="Arial"/>
          <w:color w:val="0E0E0E"/>
          <w:sz w:val="23"/>
          <w:szCs w:val="23"/>
        </w:rPr>
        <w:t>;</w:t>
      </w:r>
    </w:p>
    <w:p w14:paraId="3A0FE1F0" w14:textId="6B2EDA01" w:rsidR="007F341B" w:rsidRDefault="007F341B" w:rsidP="007F341B">
      <w:pPr>
        <w:numPr>
          <w:ilvl w:val="0"/>
          <w:numId w:val="12"/>
        </w:numPr>
        <w:spacing w:beforeAutospacing="1" w:afterAutospacing="1" w:line="286" w:lineRule="atLeast"/>
        <w:jc w:val="left"/>
        <w:textAlignment w:val="baseline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не начислил премии, так как перевел работников на удаленку и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 w:rsidRPr="007F341B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не мог оценить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>
        <w:rPr>
          <w:rFonts w:ascii="Arial" w:hAnsi="Arial" w:cs="Arial"/>
          <w:color w:val="0E0E0E"/>
          <w:sz w:val="23"/>
          <w:szCs w:val="23"/>
        </w:rPr>
        <w:t>качество труда.</w:t>
      </w:r>
    </w:p>
    <w:p w14:paraId="0E5B91ED" w14:textId="1CF0C95B" w:rsidR="007F341B" w:rsidRDefault="007F341B" w:rsidP="007B1C55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7B1C55">
        <w:rPr>
          <w:color w:val="4F81BD" w:themeColor="accent1"/>
          <w:sz w:val="28"/>
          <w:szCs w:val="28"/>
          <w:lang w:eastAsia="en-US"/>
        </w:rPr>
        <w:t>Премии тем, кто уже не в штате</w:t>
      </w:r>
    </w:p>
    <w:p w14:paraId="69F9ED7D" w14:textId="77777777" w:rsidR="007F341B" w:rsidRDefault="007F341B" w:rsidP="007F341B">
      <w:pPr>
        <w:pStyle w:val="a6"/>
        <w:shd w:val="clear" w:color="auto" w:fill="FFFFFF"/>
        <w:spacing w:line="286" w:lineRule="atLeast"/>
        <w:textAlignment w:val="baseline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Как быть, если сотрудник отработал период, за который положена премия, а затем уволился?</w:t>
      </w:r>
    </w:p>
    <w:p w14:paraId="3418BDAF" w14:textId="1B813893" w:rsidR="007F341B" w:rsidRDefault="007F341B" w:rsidP="007F341B">
      <w:pPr>
        <w:pStyle w:val="a6"/>
        <w:shd w:val="clear" w:color="auto" w:fill="FFFFFF"/>
        <w:spacing w:before="0" w:after="0" w:line="286" w:lineRule="atLeast"/>
        <w:textAlignment w:val="baseline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Позиция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hyperlink r:id="rId6" w:history="1">
        <w:r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Минтруда</w:t>
        </w:r>
      </w:hyperlink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>
        <w:rPr>
          <w:rFonts w:ascii="Arial" w:hAnsi="Arial" w:cs="Arial"/>
          <w:color w:val="0E0E0E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hyperlink r:id="rId7" w:history="1">
        <w:r>
          <w:rPr>
            <w:rStyle w:val="a3"/>
            <w:rFonts w:ascii="Arial" w:hAnsi="Arial" w:cs="Arial"/>
            <w:color w:val="413A61"/>
            <w:sz w:val="23"/>
            <w:szCs w:val="23"/>
            <w:bdr w:val="none" w:sz="0" w:space="0" w:color="auto" w:frame="1"/>
          </w:rPr>
          <w:t>Роструда</w:t>
        </w:r>
      </w:hyperlink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>
        <w:rPr>
          <w:rFonts w:ascii="Arial" w:hAnsi="Arial" w:cs="Arial"/>
          <w:color w:val="0E0E0E"/>
          <w:sz w:val="23"/>
          <w:szCs w:val="23"/>
        </w:rPr>
        <w:t>такова: если приказ о премировании издаем после расторжения договора, не нужно включать в него уволенных.</w:t>
      </w:r>
    </w:p>
    <w:p w14:paraId="3431C448" w14:textId="77777777" w:rsidR="007F341B" w:rsidRDefault="007F341B" w:rsidP="007F341B">
      <w:pPr>
        <w:pStyle w:val="a6"/>
        <w:shd w:val="clear" w:color="auto" w:fill="FFFFFF"/>
        <w:spacing w:line="286" w:lineRule="atLeast"/>
        <w:textAlignment w:val="baseline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Однако суды иногда применяли другой подход:</w:t>
      </w:r>
    </w:p>
    <w:p w14:paraId="7443D299" w14:textId="6A007C30" w:rsidR="007F341B" w:rsidRDefault="007F341B" w:rsidP="007F341B">
      <w:pPr>
        <w:numPr>
          <w:ilvl w:val="0"/>
          <w:numId w:val="13"/>
        </w:numPr>
        <w:spacing w:beforeAutospacing="1" w:afterAutospacing="1" w:line="286" w:lineRule="atLeast"/>
        <w:jc w:val="left"/>
        <w:textAlignment w:val="baseline"/>
        <w:rPr>
          <w:rFonts w:ascii="Arial" w:hAnsi="Arial" w:cs="Arial"/>
          <w:color w:val="0E0E0E"/>
          <w:sz w:val="23"/>
          <w:szCs w:val="23"/>
        </w:rPr>
      </w:pPr>
      <w:r w:rsidRPr="007B1C55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признавали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>
        <w:rPr>
          <w:rFonts w:ascii="Arial" w:hAnsi="Arial" w:cs="Arial"/>
          <w:color w:val="0E0E0E"/>
          <w:sz w:val="23"/>
          <w:szCs w:val="23"/>
        </w:rPr>
        <w:t>лишение премии незаконным, когда трудовой договор прекратили за день до приказа о годовой премии;</w:t>
      </w:r>
    </w:p>
    <w:p w14:paraId="68F32C9E" w14:textId="059E2894" w:rsidR="007F341B" w:rsidRDefault="007F341B" w:rsidP="007F341B">
      <w:pPr>
        <w:numPr>
          <w:ilvl w:val="0"/>
          <w:numId w:val="13"/>
        </w:numPr>
        <w:spacing w:beforeAutospacing="1" w:afterAutospacing="1" w:line="286" w:lineRule="atLeast"/>
        <w:jc w:val="left"/>
        <w:textAlignment w:val="baseline"/>
        <w:rPr>
          <w:rFonts w:ascii="Arial" w:hAnsi="Arial" w:cs="Arial"/>
          <w:color w:val="0E0E0E"/>
          <w:sz w:val="23"/>
          <w:szCs w:val="23"/>
        </w:rPr>
      </w:pPr>
      <w:r w:rsidRPr="007B1C55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считали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>
        <w:rPr>
          <w:rFonts w:ascii="Arial" w:hAnsi="Arial" w:cs="Arial"/>
          <w:color w:val="0E0E0E"/>
          <w:sz w:val="23"/>
          <w:szCs w:val="23"/>
        </w:rPr>
        <w:t>дискриминационным условие о премии только для тех, кто на момент выплаты состоит в штате компании;</w:t>
      </w:r>
    </w:p>
    <w:p w14:paraId="54039F1C" w14:textId="439E9707" w:rsidR="007F341B" w:rsidRDefault="007F341B" w:rsidP="007F341B">
      <w:pPr>
        <w:numPr>
          <w:ilvl w:val="0"/>
          <w:numId w:val="13"/>
        </w:numPr>
        <w:spacing w:beforeAutospacing="1" w:afterAutospacing="1" w:line="286" w:lineRule="atLeast"/>
        <w:jc w:val="left"/>
        <w:textAlignment w:val="baseline"/>
        <w:rPr>
          <w:rFonts w:ascii="Arial" w:hAnsi="Arial" w:cs="Arial"/>
          <w:color w:val="0E0E0E"/>
          <w:sz w:val="23"/>
          <w:szCs w:val="23"/>
        </w:rPr>
      </w:pPr>
      <w:r>
        <w:rPr>
          <w:rFonts w:ascii="Arial" w:hAnsi="Arial" w:cs="Arial"/>
          <w:color w:val="0E0E0E"/>
          <w:sz w:val="23"/>
          <w:szCs w:val="23"/>
        </w:rPr>
        <w:t>подчеркивали, что увольнение не повод для депремирования (например,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 w:rsidRPr="007B1C55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1-й КСОЮ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>
        <w:rPr>
          <w:rFonts w:ascii="Arial" w:hAnsi="Arial" w:cs="Arial"/>
          <w:color w:val="0E0E0E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0E0E0E"/>
          <w:sz w:val="23"/>
          <w:szCs w:val="23"/>
        </w:rPr>
        <w:t> </w:t>
      </w:r>
      <w:r w:rsidRPr="007B1C55">
        <w:rPr>
          <w:rFonts w:ascii="Arial" w:hAnsi="Arial" w:cs="Arial"/>
          <w:color w:val="0E0E0E"/>
          <w:sz w:val="23"/>
          <w:szCs w:val="23"/>
          <w:bdr w:val="none" w:sz="0" w:space="0" w:color="auto" w:frame="1"/>
        </w:rPr>
        <w:t>8-й КСОЮ</w:t>
      </w:r>
      <w:r>
        <w:rPr>
          <w:rFonts w:ascii="Arial" w:hAnsi="Arial" w:cs="Arial"/>
          <w:color w:val="0E0E0E"/>
          <w:sz w:val="23"/>
          <w:szCs w:val="23"/>
        </w:rPr>
        <w:t>).</w:t>
      </w:r>
    </w:p>
    <w:p w14:paraId="66B2A73A" w14:textId="77777777" w:rsidR="007F341B" w:rsidRDefault="007F341B" w:rsidP="007F341B">
      <w:pPr>
        <w:spacing w:beforeAutospacing="1" w:afterAutospacing="1" w:line="286" w:lineRule="atLeast"/>
        <w:ind w:left="720"/>
        <w:jc w:val="left"/>
        <w:textAlignment w:val="baseline"/>
        <w:rPr>
          <w:rFonts w:ascii="Arial" w:hAnsi="Arial" w:cs="Arial"/>
          <w:color w:val="0E0E0E"/>
          <w:sz w:val="23"/>
          <w:szCs w:val="23"/>
        </w:rPr>
      </w:pPr>
    </w:p>
    <w:sectPr w:rsidR="007F341B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E598E"/>
    <w:multiLevelType w:val="multilevel"/>
    <w:tmpl w:val="C96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C5901"/>
    <w:multiLevelType w:val="multilevel"/>
    <w:tmpl w:val="8D4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951153"/>
    <w:multiLevelType w:val="multilevel"/>
    <w:tmpl w:val="7C4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6C619E"/>
    <w:multiLevelType w:val="multilevel"/>
    <w:tmpl w:val="857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074318"/>
    <w:multiLevelType w:val="multilevel"/>
    <w:tmpl w:val="68A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60C9A"/>
    <w:multiLevelType w:val="multilevel"/>
    <w:tmpl w:val="637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8111E"/>
    <w:rsid w:val="000A140F"/>
    <w:rsid w:val="000A4527"/>
    <w:rsid w:val="000A4A4D"/>
    <w:rsid w:val="001350E8"/>
    <w:rsid w:val="00155CE5"/>
    <w:rsid w:val="00190853"/>
    <w:rsid w:val="001B58F9"/>
    <w:rsid w:val="001E0A4B"/>
    <w:rsid w:val="001E2F82"/>
    <w:rsid w:val="001E5AA0"/>
    <w:rsid w:val="001F73D0"/>
    <w:rsid w:val="00221113"/>
    <w:rsid w:val="002214F3"/>
    <w:rsid w:val="002B6460"/>
    <w:rsid w:val="002C5337"/>
    <w:rsid w:val="002D04F3"/>
    <w:rsid w:val="0030601F"/>
    <w:rsid w:val="0031353D"/>
    <w:rsid w:val="00336D46"/>
    <w:rsid w:val="003B2738"/>
    <w:rsid w:val="00404F48"/>
    <w:rsid w:val="00406049"/>
    <w:rsid w:val="004309BD"/>
    <w:rsid w:val="004A7FD3"/>
    <w:rsid w:val="0051337A"/>
    <w:rsid w:val="005221B8"/>
    <w:rsid w:val="005405EC"/>
    <w:rsid w:val="00586118"/>
    <w:rsid w:val="005B2081"/>
    <w:rsid w:val="005D55B8"/>
    <w:rsid w:val="005D760F"/>
    <w:rsid w:val="005E64E7"/>
    <w:rsid w:val="005F2A1B"/>
    <w:rsid w:val="00611601"/>
    <w:rsid w:val="006322D7"/>
    <w:rsid w:val="006A1847"/>
    <w:rsid w:val="006E7753"/>
    <w:rsid w:val="0074672A"/>
    <w:rsid w:val="007B1C55"/>
    <w:rsid w:val="007B693E"/>
    <w:rsid w:val="007F121F"/>
    <w:rsid w:val="007F341B"/>
    <w:rsid w:val="007F7AC5"/>
    <w:rsid w:val="00845DC5"/>
    <w:rsid w:val="00854BB2"/>
    <w:rsid w:val="0087073E"/>
    <w:rsid w:val="00875198"/>
    <w:rsid w:val="00892D20"/>
    <w:rsid w:val="008C7184"/>
    <w:rsid w:val="008E6571"/>
    <w:rsid w:val="008F4E91"/>
    <w:rsid w:val="00962CF9"/>
    <w:rsid w:val="00974E07"/>
    <w:rsid w:val="00976636"/>
    <w:rsid w:val="009C6A0E"/>
    <w:rsid w:val="009C7550"/>
    <w:rsid w:val="009F3976"/>
    <w:rsid w:val="00A17ED5"/>
    <w:rsid w:val="00A35DB6"/>
    <w:rsid w:val="00A4728F"/>
    <w:rsid w:val="00A47FB6"/>
    <w:rsid w:val="00A570FC"/>
    <w:rsid w:val="00A5797B"/>
    <w:rsid w:val="00A65CEC"/>
    <w:rsid w:val="00A8304E"/>
    <w:rsid w:val="00A83973"/>
    <w:rsid w:val="00A97C1F"/>
    <w:rsid w:val="00AA0E86"/>
    <w:rsid w:val="00AB1799"/>
    <w:rsid w:val="00AB5765"/>
    <w:rsid w:val="00AC3540"/>
    <w:rsid w:val="00AC6EDC"/>
    <w:rsid w:val="00AF6E07"/>
    <w:rsid w:val="00B04811"/>
    <w:rsid w:val="00B37068"/>
    <w:rsid w:val="00B62277"/>
    <w:rsid w:val="00BB5614"/>
    <w:rsid w:val="00BD5BEC"/>
    <w:rsid w:val="00C345D0"/>
    <w:rsid w:val="00C97E9C"/>
    <w:rsid w:val="00CB4EE1"/>
    <w:rsid w:val="00CC7452"/>
    <w:rsid w:val="00CE164F"/>
    <w:rsid w:val="00CE6684"/>
    <w:rsid w:val="00D17453"/>
    <w:rsid w:val="00D37327"/>
    <w:rsid w:val="00D377B6"/>
    <w:rsid w:val="00D56AFE"/>
    <w:rsid w:val="00DF2F3A"/>
    <w:rsid w:val="00E121CE"/>
    <w:rsid w:val="00E47CE9"/>
    <w:rsid w:val="00E941BC"/>
    <w:rsid w:val="00EE1DED"/>
    <w:rsid w:val="00F16587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QUEST&amp;n=204500&amp;dst=100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QUEST&amp;n=177605&amp;dst=100019" TargetMode="External"/><Relationship Id="rId5" Type="http://schemas.openxmlformats.org/officeDocument/2006/relationships/hyperlink" Target="https://login.consultant.ru/link/?req=doc&amp;base=LAW&amp;n=388711&amp;dst=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2</cp:revision>
  <dcterms:created xsi:type="dcterms:W3CDTF">2021-09-06T09:05:00Z</dcterms:created>
  <dcterms:modified xsi:type="dcterms:W3CDTF">2021-09-06T09:05:00Z</dcterms:modified>
</cp:coreProperties>
</file>