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EA35" w14:textId="166F1799" w:rsidR="00570E47" w:rsidRPr="00570E47" w:rsidRDefault="00570E47" w:rsidP="00570E47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iCs/>
          <w:sz w:val="32"/>
          <w:szCs w:val="32"/>
          <w:lang w:eastAsia="en-US"/>
        </w:rPr>
      </w:pPr>
      <w:r w:rsidRPr="00570E47">
        <w:rPr>
          <w:iCs/>
          <w:sz w:val="32"/>
          <w:szCs w:val="32"/>
          <w:lang w:eastAsia="en-US"/>
        </w:rPr>
        <w:t>Новогодние изменения в работе бухгалтера компании: что нужно сделать в декабре</w:t>
      </w:r>
      <w:r w:rsidRPr="00570E47">
        <w:rPr>
          <w:iCs/>
          <w:sz w:val="32"/>
          <w:szCs w:val="32"/>
          <w:lang w:eastAsia="en-US"/>
        </w:rPr>
        <w:br/>
      </w:r>
    </w:p>
    <w:p w14:paraId="2B02B544" w14:textId="3EE907F9" w:rsidR="0083260C" w:rsidRDefault="0083260C" w:rsidP="00570E4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  <w:color w:val="0E0E0E"/>
          <w:sz w:val="23"/>
          <w:szCs w:val="23"/>
        </w:rPr>
      </w:pPr>
      <w:r w:rsidRPr="0083260C">
        <w:rPr>
          <w:rFonts w:ascii="PT Serif" w:hAnsi="PT Serif"/>
          <w:color w:val="0E0E0E"/>
          <w:sz w:val="23"/>
          <w:szCs w:val="23"/>
        </w:rPr>
        <w:t xml:space="preserve">Новый кредит можно получить с 1 ноября по 30 декабря. Главное условие действия льготной ставки осталось прежним: нужно сохранить 90% штата. </w:t>
      </w:r>
    </w:p>
    <w:p w14:paraId="0CE3A890" w14:textId="0E7F50CF" w:rsidR="00570E47" w:rsidRDefault="00570E47" w:rsidP="00570E4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  <w:color w:val="0E0E0E"/>
          <w:sz w:val="23"/>
          <w:szCs w:val="23"/>
        </w:rPr>
      </w:pPr>
    </w:p>
    <w:p w14:paraId="56AB7034" w14:textId="77777777" w:rsidR="00570E47" w:rsidRPr="00570E47" w:rsidRDefault="00570E47" w:rsidP="00570E47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r w:rsidRPr="00570E47">
        <w:rPr>
          <w:b/>
          <w:bCs/>
          <w:color w:val="1F497D" w:themeColor="text2"/>
          <w:sz w:val="32"/>
          <w:szCs w:val="32"/>
          <w:lang w:eastAsia="en-US"/>
        </w:rPr>
        <w:t>Последние изменения</w:t>
      </w:r>
    </w:p>
    <w:p w14:paraId="16CAADFF" w14:textId="77777777" w:rsidR="00570E47" w:rsidRDefault="00570E47" w:rsidP="00570E47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color w:val="0E0E0E"/>
        </w:rPr>
      </w:pPr>
    </w:p>
    <w:p w14:paraId="09FC5CE7" w14:textId="26747235" w:rsidR="00570E47" w:rsidRPr="00570E47" w:rsidRDefault="00570E47" w:rsidP="00570E4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  <w:color w:val="0E0E0E"/>
          <w:sz w:val="23"/>
          <w:szCs w:val="23"/>
        </w:rPr>
      </w:pPr>
      <w:r w:rsidRPr="00570E47">
        <w:rPr>
          <w:b/>
          <w:bCs/>
          <w:color w:val="0E0E0E"/>
        </w:rPr>
        <w:t>6 декабря</w:t>
      </w:r>
      <w:r w:rsidRPr="00570E47">
        <w:rPr>
          <w:rFonts w:ascii="PT Serif" w:hAnsi="PT Serif"/>
          <w:color w:val="0E0E0E"/>
          <w:sz w:val="23"/>
          <w:szCs w:val="23"/>
        </w:rPr>
        <w:t>. Опубликовали закон о повышении МРОТ до</w:t>
      </w:r>
      <w:r w:rsidRPr="00570E47">
        <w:rPr>
          <w:color w:val="0E0E0E"/>
        </w:rPr>
        <w:t> 13 890 руб</w:t>
      </w:r>
      <w:r w:rsidRPr="00570E47">
        <w:rPr>
          <w:rFonts w:ascii="PT Serif" w:hAnsi="PT Serif"/>
          <w:color w:val="0E0E0E"/>
          <w:sz w:val="23"/>
          <w:szCs w:val="23"/>
        </w:rPr>
        <w:t>.</w:t>
      </w:r>
    </w:p>
    <w:p w14:paraId="3184AD83" w14:textId="0F3202AE" w:rsidR="00570E47" w:rsidRPr="00570E47" w:rsidRDefault="00570E47" w:rsidP="00570E4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  <w:color w:val="0E0E0E"/>
          <w:sz w:val="23"/>
          <w:szCs w:val="23"/>
        </w:rPr>
      </w:pPr>
      <w:r w:rsidRPr="00570E47">
        <w:rPr>
          <w:b/>
          <w:bCs/>
          <w:color w:val="0E0E0E"/>
        </w:rPr>
        <w:t>1 декабря</w:t>
      </w:r>
      <w:r w:rsidRPr="00570E47">
        <w:rPr>
          <w:rFonts w:ascii="PT Serif" w:hAnsi="PT Serif"/>
          <w:color w:val="0E0E0E"/>
          <w:sz w:val="23"/>
          <w:szCs w:val="23"/>
        </w:rPr>
        <w:t>. Появился приказ с</w:t>
      </w:r>
      <w:r w:rsidRPr="00570E47">
        <w:rPr>
          <w:color w:val="0E0E0E"/>
        </w:rPr>
        <w:t> поправками </w:t>
      </w:r>
      <w:r w:rsidRPr="00570E47">
        <w:rPr>
          <w:rFonts w:ascii="PT Serif" w:hAnsi="PT Serif"/>
          <w:color w:val="0E0E0E"/>
          <w:sz w:val="23"/>
          <w:szCs w:val="23"/>
        </w:rPr>
        <w:t>в порядок заполнения СЗВ-СТАЖ. Они действуют с 12 декабря.</w:t>
      </w:r>
    </w:p>
    <w:p w14:paraId="12ED4858" w14:textId="77777777" w:rsidR="0053086B" w:rsidRPr="0053086B" w:rsidRDefault="00570E47" w:rsidP="0053086B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r>
        <w:rPr>
          <w:rFonts w:ascii="PT Serif" w:hAnsi="PT Serif"/>
          <w:sz w:val="23"/>
          <w:szCs w:val="23"/>
        </w:rPr>
        <w:br/>
      </w:r>
      <w:bookmarkStart w:id="0" w:name="anchor_1"/>
      <w:bookmarkEnd w:id="0"/>
      <w:r w:rsidR="0053086B" w:rsidRPr="0053086B">
        <w:rPr>
          <w:b/>
          <w:bCs/>
          <w:color w:val="1F497D" w:themeColor="text2"/>
          <w:sz w:val="32"/>
          <w:szCs w:val="32"/>
          <w:lang w:eastAsia="en-US"/>
        </w:rPr>
        <w:t>Электронные подписи</w:t>
      </w:r>
    </w:p>
    <w:p w14:paraId="33FD1B55" w14:textId="11B8B2E4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С 1 января электронные подписи для коммерческой организации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можно будет получать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только в ФНС (в т.ч. через ее доверенных лиц). Владеть сертификатом сможет лишь тот, кто действует от имени организации без доверенности. Как правило, это гендиректор. Платить за оформление подписи не придется.</w:t>
      </w:r>
    </w:p>
    <w:p w14:paraId="100E4AAC" w14:textId="51D4D510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Обычные работники не смогут владеть сертификатом подписи организации. Они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будут подписывать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служебные документы личными электронными подписями (их по-прежнему выдают коммерческие удостоверяющие центры). Для этого понадобится доверенность от организации. Она должна быть машиночитаемой, но, возможно, данное требование пока отложат. Как только станут известны подробности, мы сообщим о них в новостях.</w:t>
      </w:r>
    </w:p>
    <w:p w14:paraId="0F536435" w14:textId="5F22D408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Подпись на имя организации, которую коммерческий удостоверяющий центр выдал должностному лицу в 2021 году,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действует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и в новом году (если ее срок не истек). Прилагать к ней доверенность не надо.</w:t>
      </w:r>
    </w:p>
    <w:p w14:paraId="0D37EFD1" w14:textId="77777777" w:rsidR="0053086B" w:rsidRPr="0053086B" w:rsidRDefault="0053086B" w:rsidP="0053086B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bookmarkStart w:id="1" w:name="anchor_3"/>
      <w:bookmarkEnd w:id="1"/>
      <w:r w:rsidRPr="0053086B">
        <w:rPr>
          <w:b/>
          <w:bCs/>
          <w:color w:val="1F497D" w:themeColor="text2"/>
          <w:sz w:val="32"/>
          <w:szCs w:val="32"/>
          <w:lang w:eastAsia="en-US"/>
        </w:rPr>
        <w:t>Стандарты бухучета</w:t>
      </w:r>
    </w:p>
    <w:p w14:paraId="35F7DEFF" w14:textId="77777777" w:rsidR="0053086B" w:rsidRDefault="0053086B" w:rsidP="0053086B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При составлении учетной политики на будущий год нужно учесть новые ФСБУ. С 1 января вводят стандарты:</w:t>
      </w:r>
    </w:p>
    <w:p w14:paraId="0132ADB7" w14:textId="7B1F27ED" w:rsidR="0053086B" w:rsidRDefault="0053086B" w:rsidP="0053086B">
      <w:pPr>
        <w:numPr>
          <w:ilvl w:val="0"/>
          <w:numId w:val="17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hyperlink r:id="rId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25/2018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"Бухгалтерский учет аренды" (он появился еще в конце 2018 года, но использовать его было необязательно);</w:t>
      </w:r>
    </w:p>
    <w:p w14:paraId="103EE720" w14:textId="244A5392" w:rsidR="0053086B" w:rsidRDefault="0053086B" w:rsidP="0053086B">
      <w:pPr>
        <w:numPr>
          <w:ilvl w:val="0"/>
          <w:numId w:val="17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hyperlink r:id="rId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6/2020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"Основные средства";</w:t>
      </w:r>
    </w:p>
    <w:p w14:paraId="58357F75" w14:textId="60EEF6EF" w:rsidR="0053086B" w:rsidRDefault="0053086B" w:rsidP="0053086B">
      <w:pPr>
        <w:numPr>
          <w:ilvl w:val="0"/>
          <w:numId w:val="17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hyperlink r:id="rId1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26/2020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"Капитальные вложения";</w:t>
      </w:r>
    </w:p>
    <w:p w14:paraId="17677FC3" w14:textId="789C6059" w:rsidR="0053086B" w:rsidRDefault="0053086B" w:rsidP="0053086B">
      <w:pPr>
        <w:numPr>
          <w:ilvl w:val="0"/>
          <w:numId w:val="17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hyperlink r:id="rId1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27/2021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"Документы и документооборот в бухгалтерском учете" (</w:t>
      </w:r>
      <w:hyperlink r:id="rId1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требование</w:t>
        </w:r>
      </w:hyperlink>
      <w:r>
        <w:rPr>
          <w:rFonts w:ascii="PT Serif" w:hAnsi="PT Serif"/>
          <w:sz w:val="23"/>
          <w:szCs w:val="23"/>
        </w:rPr>
        <w:t> хранить документы бухучета только в России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r w:rsidRPr="0053086B">
        <w:rPr>
          <w:rFonts w:ascii="PT Serif" w:hAnsi="PT Serif"/>
          <w:sz w:val="23"/>
          <w:szCs w:val="23"/>
          <w:bdr w:val="none" w:sz="0" w:space="0" w:color="auto" w:frame="1"/>
        </w:rPr>
        <w:t>могут отложить</w:t>
      </w:r>
      <w:r>
        <w:rPr>
          <w:rFonts w:ascii="PT Serif" w:hAnsi="PT Serif"/>
          <w:sz w:val="23"/>
          <w:szCs w:val="23"/>
        </w:rPr>
        <w:t> на 2024 год).</w:t>
      </w:r>
    </w:p>
    <w:p w14:paraId="1F85F551" w14:textId="77777777" w:rsidR="0053086B" w:rsidRDefault="0053086B" w:rsidP="0053086B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bookmarkStart w:id="2" w:name="anchor_2"/>
      <w:bookmarkEnd w:id="2"/>
    </w:p>
    <w:p w14:paraId="40B9D60C" w14:textId="2229253A" w:rsidR="0053086B" w:rsidRPr="0053086B" w:rsidRDefault="0053086B" w:rsidP="0053086B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r w:rsidRPr="0053086B">
        <w:rPr>
          <w:b/>
          <w:bCs/>
          <w:color w:val="1F497D" w:themeColor="text2"/>
          <w:sz w:val="32"/>
          <w:szCs w:val="32"/>
          <w:lang w:eastAsia="en-US"/>
        </w:rPr>
        <w:t>Повышение МРОТ</w:t>
      </w:r>
    </w:p>
    <w:p w14:paraId="3455743C" w14:textId="739341A6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lastRenderedPageBreak/>
        <w:t>С 1 января показатель составит </w:t>
      </w:r>
      <w:hyperlink r:id="rId1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13 890 руб.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вместо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0021AB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12 792 руб</w:t>
      </w:r>
      <w:r>
        <w:rPr>
          <w:rFonts w:ascii="PT Serif" w:hAnsi="PT Serif"/>
          <w:color w:val="000000"/>
          <w:sz w:val="23"/>
          <w:szCs w:val="23"/>
        </w:rPr>
        <w:t>. Это придется учесть при формировании бюджета на будущий год.</w:t>
      </w:r>
    </w:p>
    <w:p w14:paraId="67C36484" w14:textId="77777777" w:rsidR="0053086B" w:rsidRPr="000021AB" w:rsidRDefault="0053086B" w:rsidP="000021AB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bookmarkStart w:id="3" w:name="anchor_9"/>
      <w:bookmarkEnd w:id="3"/>
      <w:r w:rsidRPr="000021AB">
        <w:rPr>
          <w:b/>
          <w:bCs/>
          <w:color w:val="1F497D" w:themeColor="text2"/>
          <w:sz w:val="32"/>
          <w:szCs w:val="32"/>
          <w:lang w:eastAsia="en-US"/>
        </w:rPr>
        <w:t>Выплата пособий</w:t>
      </w:r>
    </w:p>
    <w:p w14:paraId="4DF413FD" w14:textId="77777777" w:rsidR="0053086B" w:rsidRDefault="0053086B" w:rsidP="0053086B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С января изменят правила оформления социальных пособий. При необходимости внесите изменения в локальные НПА и проверьте готовность к полному переходу на электронное взаимодействие с ФСС.</w:t>
      </w:r>
    </w:p>
    <w:p w14:paraId="27AFAA4D" w14:textId="63B1625E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hyperlink r:id="rId14" w:history="1">
        <w:r>
          <w:rPr>
            <w:rStyle w:val="a3"/>
            <w:rFonts w:ascii="PT Serif" w:hAnsi="PT Serif"/>
            <w:b/>
            <w:bCs/>
            <w:color w:val="413A61"/>
            <w:sz w:val="23"/>
            <w:szCs w:val="23"/>
            <w:bdr w:val="none" w:sz="0" w:space="0" w:color="auto" w:frame="1"/>
          </w:rPr>
          <w:t>Пособия</w:t>
        </w:r>
      </w:hyperlink>
      <w:r>
        <w:rPr>
          <w:rStyle w:val="apple-converted-space"/>
          <w:rFonts w:ascii="PT Serif" w:hAnsi="PT Serif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t>по болезни, по беременности и родам</w:t>
      </w:r>
      <w:r>
        <w:rPr>
          <w:rFonts w:ascii="PT Serif" w:hAnsi="PT Serif"/>
          <w:color w:val="000000"/>
          <w:sz w:val="23"/>
          <w:szCs w:val="23"/>
        </w:rPr>
        <w:t>. </w:t>
      </w:r>
      <w:proofErr w:type="spellStart"/>
      <w:r>
        <w:rPr>
          <w:rFonts w:ascii="PT Serif" w:hAnsi="PT Serif"/>
          <w:color w:val="000000"/>
          <w:sz w:val="23"/>
          <w:szCs w:val="23"/>
        </w:rPr>
        <w:t>Медорганизации</w:t>
      </w:r>
      <w:proofErr w:type="spellEnd"/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1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перейдут</w:t>
        </w:r>
      </w:hyperlink>
      <w:r>
        <w:rPr>
          <w:rFonts w:ascii="PT Serif" w:hAnsi="PT Serif"/>
          <w:color w:val="000000"/>
          <w:sz w:val="23"/>
          <w:szCs w:val="23"/>
        </w:rPr>
        <w:t> на оформление электронных листков нетрудоспособности. Застрахованному лицу по его желанию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1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могут выдать</w:t>
        </w:r>
      </w:hyperlink>
      <w:r>
        <w:rPr>
          <w:rFonts w:ascii="PT Serif" w:hAnsi="PT Serif"/>
          <w:color w:val="000000"/>
          <w:sz w:val="23"/>
          <w:szCs w:val="23"/>
        </w:rPr>
        <w:t> выписку из электронного больничного.</w:t>
      </w:r>
    </w:p>
    <w:p w14:paraId="19251A33" w14:textId="0E012031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При каждом изменении статуса электронного листка нетрудоспособности (открыт, продлен, закрыт, аннулирован) работодатели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1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будут получать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автоматическое сообщение от ФСС. Согласие работника для этого не нужно.</w:t>
      </w:r>
    </w:p>
    <w:p w14:paraId="3F6AE248" w14:textId="70FAA362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hyperlink r:id="rId1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Сведения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для расчета пособия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1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надо будет подавать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фонду только по его запросу и лишь в указанном объеме. От работников больше не нужны номера электронных больничных. Заявление о назначении пособия по-прежнему не обязательно.</w:t>
      </w:r>
    </w:p>
    <w:p w14:paraId="0277B023" w14:textId="0A06EF2D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hyperlink r:id="rId20" w:history="1">
        <w:r>
          <w:rPr>
            <w:rStyle w:val="a3"/>
            <w:rFonts w:ascii="PT Serif" w:hAnsi="PT Serif"/>
            <w:b/>
            <w:bCs/>
            <w:color w:val="413A61"/>
            <w:sz w:val="23"/>
            <w:szCs w:val="23"/>
            <w:bdr w:val="none" w:sz="0" w:space="0" w:color="auto" w:frame="1"/>
          </w:rPr>
          <w:t>Пособие</w:t>
        </w:r>
      </w:hyperlink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t> при рождении ребенка</w:t>
      </w:r>
      <w:r>
        <w:rPr>
          <w:rFonts w:ascii="PT Serif" w:hAnsi="PT Serif"/>
          <w:color w:val="000000"/>
          <w:sz w:val="23"/>
          <w:szCs w:val="23"/>
        </w:rPr>
        <w:t>. От работника больше не понадобятся заявление о назначении пособия и другие документы (к примеру, справка о рождении ребенка). Фонд запросит сведения в порядке межведомственного взаимодействия и сам назначит выплату.</w:t>
      </w:r>
    </w:p>
    <w:p w14:paraId="44ACE93C" w14:textId="0504BBBD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У работодателя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могут истребовать</w:t>
        </w:r>
      </w:hyperlink>
      <w:r>
        <w:rPr>
          <w:rFonts w:ascii="PT Serif" w:hAnsi="PT Serif"/>
          <w:color w:val="000000"/>
          <w:sz w:val="23"/>
          <w:szCs w:val="23"/>
        </w:rPr>
        <w:t> лишь сведения о районном коэффициенте.</w:t>
      </w:r>
    </w:p>
    <w:p w14:paraId="387C7752" w14:textId="27214B64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hyperlink r:id="rId22" w:history="1">
        <w:r>
          <w:rPr>
            <w:rStyle w:val="a3"/>
            <w:rFonts w:ascii="PT Serif" w:hAnsi="PT Serif"/>
            <w:b/>
            <w:bCs/>
            <w:color w:val="413A61"/>
            <w:sz w:val="23"/>
            <w:szCs w:val="23"/>
            <w:bdr w:val="none" w:sz="0" w:space="0" w:color="auto" w:frame="1"/>
          </w:rPr>
          <w:t>Пособие</w:t>
        </w:r>
      </w:hyperlink>
      <w:r>
        <w:rPr>
          <w:rFonts w:ascii="PT Serif" w:hAnsi="PT Serif"/>
          <w:color w:val="000000"/>
          <w:sz w:val="23"/>
          <w:szCs w:val="23"/>
        </w:rPr>
        <w:t> </w:t>
      </w:r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t>по уходу за ребенком</w:t>
      </w:r>
      <w:r>
        <w:rPr>
          <w:rFonts w:ascii="PT Serif" w:hAnsi="PT Serif"/>
          <w:color w:val="000000"/>
          <w:sz w:val="23"/>
          <w:szCs w:val="23"/>
        </w:rPr>
        <w:t>. Для оформления пособия от работника по-прежнему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нужно будет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заявление. Получив его, работодатель в течение 3 рабочих дней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должен передать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фонду сведения:</w:t>
      </w:r>
    </w:p>
    <w:p w14:paraId="19FA4B13" w14:textId="77777777" w:rsidR="0053086B" w:rsidRDefault="0053086B" w:rsidP="0053086B">
      <w:pPr>
        <w:numPr>
          <w:ilvl w:val="0"/>
          <w:numId w:val="18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о периоде отпуска по уходу за ребенком;</w:t>
      </w:r>
    </w:p>
    <w:p w14:paraId="321ED9EA" w14:textId="77777777" w:rsidR="0053086B" w:rsidRDefault="0053086B" w:rsidP="0053086B">
      <w:pPr>
        <w:numPr>
          <w:ilvl w:val="0"/>
          <w:numId w:val="18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замене лет в расчетном периоде (если работник заявил об этом);</w:t>
      </w:r>
    </w:p>
    <w:p w14:paraId="649AC0D2" w14:textId="77777777" w:rsidR="0053086B" w:rsidRDefault="0053086B" w:rsidP="0053086B">
      <w:pPr>
        <w:numPr>
          <w:ilvl w:val="0"/>
          <w:numId w:val="18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продолжительности рабочего времени (при неполном рабочем дне или неделе).</w:t>
      </w:r>
    </w:p>
    <w:p w14:paraId="1FE417D3" w14:textId="34F30516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Фонд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может запросить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дополнительные данные:</w:t>
      </w:r>
    </w:p>
    <w:p w14:paraId="0C72C3D6" w14:textId="77777777" w:rsidR="0053086B" w:rsidRDefault="0053086B" w:rsidP="0053086B">
      <w:pPr>
        <w:numPr>
          <w:ilvl w:val="0"/>
          <w:numId w:val="19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о выплатах сотруднику;</w:t>
      </w:r>
    </w:p>
    <w:p w14:paraId="29CF957A" w14:textId="77777777" w:rsidR="0053086B" w:rsidRDefault="0053086B" w:rsidP="0053086B">
      <w:pPr>
        <w:numPr>
          <w:ilvl w:val="0"/>
          <w:numId w:val="19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районных коэффициентах;</w:t>
      </w:r>
    </w:p>
    <w:p w14:paraId="1BA62DA8" w14:textId="6A16DF27" w:rsidR="0053086B" w:rsidRDefault="0053086B" w:rsidP="0053086B">
      <w:pPr>
        <w:numPr>
          <w:ilvl w:val="0"/>
          <w:numId w:val="19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отпусках и освобождении от работы.</w:t>
      </w:r>
    </w:p>
    <w:p w14:paraId="0A7BC3EC" w14:textId="77777777" w:rsidR="0029354D" w:rsidRDefault="0029354D" w:rsidP="0029354D">
      <w:pPr>
        <w:spacing w:line="286" w:lineRule="atLeast"/>
        <w:ind w:left="720"/>
        <w:jc w:val="left"/>
        <w:textAlignment w:val="baseline"/>
        <w:rPr>
          <w:rFonts w:ascii="PT Serif" w:hAnsi="PT Serif"/>
          <w:sz w:val="23"/>
          <w:szCs w:val="23"/>
        </w:rPr>
      </w:pPr>
    </w:p>
    <w:p w14:paraId="513252AF" w14:textId="77777777" w:rsidR="0053086B" w:rsidRPr="0029354D" w:rsidRDefault="0053086B" w:rsidP="0029354D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bookmarkStart w:id="4" w:name="anchor_4"/>
      <w:bookmarkEnd w:id="4"/>
      <w:r w:rsidRPr="0029354D">
        <w:rPr>
          <w:b/>
          <w:bCs/>
          <w:color w:val="1F497D" w:themeColor="text2"/>
          <w:sz w:val="32"/>
          <w:szCs w:val="32"/>
          <w:lang w:eastAsia="en-US"/>
        </w:rPr>
        <w:t>Лимиты по УСН</w:t>
      </w:r>
    </w:p>
    <w:p w14:paraId="129AD673" w14:textId="77777777" w:rsidR="0053086B" w:rsidRDefault="0053086B" w:rsidP="0053086B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b w:val="0"/>
          <w:bCs w:val="0"/>
          <w:color w:val="000000"/>
          <w:sz w:val="23"/>
          <w:szCs w:val="23"/>
        </w:rPr>
      </w:pPr>
      <w:r>
        <w:rPr>
          <w:rFonts w:ascii="PT Serif" w:hAnsi="PT Serif"/>
          <w:b w:val="0"/>
          <w:bCs w:val="0"/>
          <w:color w:val="000000"/>
          <w:sz w:val="23"/>
          <w:szCs w:val="23"/>
        </w:rPr>
        <w:t>Применение УСН в 2022 году</w:t>
      </w:r>
    </w:p>
    <w:p w14:paraId="5921A935" w14:textId="03874955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lastRenderedPageBreak/>
        <w:t>Чтобы продолжать применять УСН со стандартными ставками, нужно соблюсти ряд условий. К примеру, доходы за любой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отчетный период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будущего года, а также за весь год не должны превысить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164,4 млн руб</w:t>
        </w:r>
      </w:hyperlink>
      <w:r>
        <w:rPr>
          <w:rFonts w:ascii="PT Serif" w:hAnsi="PT Serif"/>
          <w:color w:val="000000"/>
          <w:sz w:val="23"/>
          <w:szCs w:val="23"/>
        </w:rPr>
        <w:t>.</w:t>
      </w:r>
    </w:p>
    <w:p w14:paraId="7B652F44" w14:textId="77777777" w:rsidR="0053086B" w:rsidRDefault="0053086B" w:rsidP="0053086B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Если этот лимит превышен, но доходы составили не более 219,2 млн руб., можно остаться на упрощенке, однако налог надо будет считать по повышенным ставкам:</w:t>
      </w:r>
    </w:p>
    <w:p w14:paraId="73D33BCF" w14:textId="77777777" w:rsidR="0053086B" w:rsidRDefault="0053086B" w:rsidP="0053086B">
      <w:pPr>
        <w:numPr>
          <w:ilvl w:val="0"/>
          <w:numId w:val="20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20% — при объекте "доходы минус расходы" (общая ставка — 15%);</w:t>
      </w:r>
    </w:p>
    <w:p w14:paraId="09AA7B00" w14:textId="7814EA69" w:rsidR="0053086B" w:rsidRDefault="0053086B" w:rsidP="0053086B">
      <w:pPr>
        <w:numPr>
          <w:ilvl w:val="0"/>
          <w:numId w:val="20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8% — при объекте "доходы" (общая ставка — 6%).</w:t>
      </w:r>
    </w:p>
    <w:p w14:paraId="5571C89C" w14:textId="77777777" w:rsidR="00F96D6D" w:rsidRDefault="00F96D6D" w:rsidP="0053086B">
      <w:pPr>
        <w:numPr>
          <w:ilvl w:val="0"/>
          <w:numId w:val="20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</w:p>
    <w:p w14:paraId="6C3D59C8" w14:textId="77777777" w:rsidR="0053086B" w:rsidRPr="00F96D6D" w:rsidRDefault="0053086B" w:rsidP="00F96D6D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r w:rsidRPr="00F96D6D">
        <w:rPr>
          <w:b/>
          <w:bCs/>
          <w:color w:val="1F497D" w:themeColor="text2"/>
          <w:sz w:val="32"/>
          <w:szCs w:val="32"/>
          <w:lang w:eastAsia="en-US"/>
        </w:rPr>
        <w:t>Переход на УСН</w:t>
      </w:r>
    </w:p>
    <w:p w14:paraId="08AA42FF" w14:textId="77777777" w:rsidR="0053086B" w:rsidRDefault="0053086B" w:rsidP="0053086B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Чтобы организация могла перейти на упрощенку с 2022 года, ее доходы за 9 месяцев текущего года не должны превысить лимит (112,5 млн руб., умноженные на коэффициент-дефлятор).</w:t>
      </w:r>
    </w:p>
    <w:p w14:paraId="06D8F580" w14:textId="062C6AA3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Ранее чиновники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разъясняли</w:t>
        </w:r>
      </w:hyperlink>
      <w:r>
        <w:rPr>
          <w:rFonts w:ascii="PT Serif" w:hAnsi="PT Serif"/>
          <w:color w:val="000000"/>
          <w:sz w:val="23"/>
          <w:szCs w:val="23"/>
        </w:rPr>
        <w:t>, что умножать нужно на коэффициент 1,032 (тогда лимит доходов составляет 116,1 млн руб.). Однако недавно Минфин занял более выгодную для компаний позицию 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разрешил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применять коэффициент 1,096. Значит, лимит составляет 123,3 млн руб. Чтобы сравнить доходы с предельным значением, учтите выручку от реализации и внереализационные поступления, а НДС в расчет не включайте.</w:t>
      </w:r>
    </w:p>
    <w:p w14:paraId="4C4EE034" w14:textId="2C4C4A2F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Для перехода нужно подать уведомление по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форме N 26.2-1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в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любой налоговый орган</w:t>
        </w:r>
      </w:hyperlink>
      <w:r>
        <w:rPr>
          <w:rFonts w:ascii="PT Serif" w:hAnsi="PT Serif"/>
          <w:color w:val="000000"/>
          <w:sz w:val="23"/>
          <w:szCs w:val="23"/>
        </w:rPr>
        <w:t xml:space="preserve">. </w:t>
      </w:r>
    </w:p>
    <w:p w14:paraId="08FC0748" w14:textId="05C6B7EE" w:rsidR="0053086B" w:rsidRDefault="0053086B" w:rsidP="00F96D6D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bookmarkStart w:id="5" w:name="anchor_5"/>
      <w:bookmarkEnd w:id="5"/>
      <w:r w:rsidRPr="00F96D6D">
        <w:rPr>
          <w:b/>
          <w:bCs/>
          <w:color w:val="1F497D" w:themeColor="text2"/>
          <w:sz w:val="32"/>
          <w:szCs w:val="32"/>
          <w:lang w:eastAsia="en-US"/>
        </w:rPr>
        <w:t>Имущественные налоги</w:t>
      </w:r>
    </w:p>
    <w:p w14:paraId="338AEA8C" w14:textId="77777777" w:rsidR="00F96D6D" w:rsidRPr="00F96D6D" w:rsidRDefault="00F96D6D" w:rsidP="00F96D6D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</w:p>
    <w:p w14:paraId="47B00735" w14:textId="77777777" w:rsidR="0053086B" w:rsidRPr="00F96D6D" w:rsidRDefault="0053086B" w:rsidP="0053086B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 w:rsidRPr="00F96D6D">
        <w:rPr>
          <w:rFonts w:ascii="PT Serif" w:hAnsi="PT Serif"/>
          <w:color w:val="000000"/>
          <w:sz w:val="23"/>
          <w:szCs w:val="23"/>
        </w:rPr>
        <w:t>Люксовые автомобили</w:t>
      </w:r>
    </w:p>
    <w:p w14:paraId="471162FB" w14:textId="15B5459F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В ноябре ФНС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F96D6D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сообщила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 xml:space="preserve">о том, что перечень дорогих автомобилей уточнили. Например, в раздел автомобилей стоимостью от 10 млн до 15 млн руб. добавили 3 модели </w:t>
      </w:r>
      <w:proofErr w:type="spellStart"/>
      <w:r>
        <w:rPr>
          <w:rFonts w:ascii="PT Serif" w:hAnsi="PT Serif"/>
          <w:color w:val="000000"/>
          <w:sz w:val="23"/>
          <w:szCs w:val="23"/>
        </w:rPr>
        <w:t>MercedesBenz</w:t>
      </w:r>
      <w:proofErr w:type="spellEnd"/>
      <w:r>
        <w:rPr>
          <w:rFonts w:ascii="PT Serif" w:hAnsi="PT Serif"/>
          <w:color w:val="000000"/>
          <w:sz w:val="23"/>
          <w:szCs w:val="23"/>
        </w:rPr>
        <w:t>: Mercedes-AMG GLS 63 4MATIC, G 400 d и G 500.</w:t>
      </w:r>
    </w:p>
    <w:p w14:paraId="010F1227" w14:textId="77777777" w:rsidR="0053086B" w:rsidRDefault="0053086B" w:rsidP="0053086B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Для организаций такое обновление означает, что сумма транспортного налога за 2021 год может измениться. Учтите это в бюджете на будущий год.</w:t>
      </w:r>
    </w:p>
    <w:p w14:paraId="222FFF3A" w14:textId="77777777" w:rsidR="0053086B" w:rsidRPr="00357560" w:rsidRDefault="0053086B" w:rsidP="0053086B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bookmarkStart w:id="6" w:name="anchor_7"/>
      <w:bookmarkEnd w:id="6"/>
      <w:r w:rsidRPr="00357560">
        <w:rPr>
          <w:rFonts w:ascii="PT Serif" w:hAnsi="PT Serif"/>
          <w:color w:val="000000"/>
          <w:sz w:val="23"/>
          <w:szCs w:val="23"/>
        </w:rPr>
        <w:t>Документы по неучтенным объектам</w:t>
      </w:r>
    </w:p>
    <w:p w14:paraId="265F0959" w14:textId="310B0B32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С этого года ФНС сама рассылает организациям сообщения о суммах земельного и транспортного налогов. Если она не учла какие-то объекты за 2020 год и по ним нет льготы,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нужно уведомить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 xml:space="preserve">ее об этом до конца декабря. </w:t>
      </w:r>
    </w:p>
    <w:p w14:paraId="26F6546E" w14:textId="77777777" w:rsidR="0053086B" w:rsidRPr="00357560" w:rsidRDefault="0053086B" w:rsidP="00357560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bookmarkStart w:id="7" w:name="anchor_6"/>
      <w:bookmarkEnd w:id="7"/>
      <w:r w:rsidRPr="00357560">
        <w:rPr>
          <w:b/>
          <w:bCs/>
          <w:color w:val="1F497D" w:themeColor="text2"/>
          <w:sz w:val="32"/>
          <w:szCs w:val="32"/>
          <w:lang w:eastAsia="en-US"/>
        </w:rPr>
        <w:t>Налог на прибыль</w:t>
      </w:r>
    </w:p>
    <w:p w14:paraId="5311C32C" w14:textId="5F1C7F6B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С 2022 года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планировали отменить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положение о том, что на будущий год можно перенести лишь 50% убытков. Однако его действие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продлили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на 3 года.</w:t>
      </w:r>
    </w:p>
    <w:p w14:paraId="6B794633" w14:textId="77777777" w:rsidR="0053086B" w:rsidRDefault="0053086B" w:rsidP="0053086B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lastRenderedPageBreak/>
        <w:t>Проверьте положения учетной политики в этой части и при необходимости внесите изменения.</w:t>
      </w:r>
    </w:p>
    <w:p w14:paraId="2686FCDA" w14:textId="77777777" w:rsidR="0053086B" w:rsidRPr="003138CA" w:rsidRDefault="0053086B" w:rsidP="003138CA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bookmarkStart w:id="8" w:name="anchor_8"/>
      <w:bookmarkEnd w:id="8"/>
      <w:r w:rsidRPr="003138CA">
        <w:rPr>
          <w:b/>
          <w:bCs/>
          <w:color w:val="1F497D" w:themeColor="text2"/>
          <w:sz w:val="32"/>
          <w:szCs w:val="32"/>
          <w:lang w:eastAsia="en-US"/>
        </w:rPr>
        <w:t>Маркировка</w:t>
      </w:r>
    </w:p>
    <w:p w14:paraId="239F0772" w14:textId="77777777" w:rsidR="0053086B" w:rsidRPr="003138CA" w:rsidRDefault="0053086B" w:rsidP="0053086B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 w:rsidRPr="003138CA">
        <w:rPr>
          <w:rFonts w:ascii="PT Serif" w:hAnsi="PT Serif"/>
          <w:color w:val="000000"/>
          <w:sz w:val="23"/>
          <w:szCs w:val="23"/>
        </w:rPr>
        <w:t>Новые штрафы</w:t>
      </w:r>
    </w:p>
    <w:p w14:paraId="26ED687F" w14:textId="09F5E7BB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С 1 декабря за нарушение порядка передачи информации о маркировке в систему "Честный знак", в том числе за просрочку передачи, ввели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административную ответственность</w:t>
        </w:r>
      </w:hyperlink>
      <w:r>
        <w:rPr>
          <w:rFonts w:ascii="PT Serif" w:hAnsi="PT Serif"/>
          <w:color w:val="000000"/>
          <w:sz w:val="23"/>
          <w:szCs w:val="23"/>
        </w:rPr>
        <w:t>:</w:t>
      </w:r>
    </w:p>
    <w:p w14:paraId="7CCE9FEF" w14:textId="77777777" w:rsidR="0053086B" w:rsidRDefault="0053086B" w:rsidP="0053086B">
      <w:pPr>
        <w:numPr>
          <w:ilvl w:val="0"/>
          <w:numId w:val="21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для директора или ИП — предупреждение или штраф от 1 тыс. до 10 тыс. руб.;</w:t>
      </w:r>
    </w:p>
    <w:p w14:paraId="1DDA7ED3" w14:textId="77777777" w:rsidR="0053086B" w:rsidRDefault="0053086B" w:rsidP="0053086B">
      <w:pPr>
        <w:numPr>
          <w:ilvl w:val="0"/>
          <w:numId w:val="21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для юрлица — штраф от 50 тыс. до 100 тыс. руб.</w:t>
      </w:r>
    </w:p>
    <w:p w14:paraId="624026D0" w14:textId="16959D75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Кроме того, теперь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могут наказать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за ввод в оборот немаркированного или неправильно маркированного товара, в т.ч. табачных изделий.</w:t>
      </w:r>
    </w:p>
    <w:p w14:paraId="521DE250" w14:textId="4B029575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С 1 декабря ввели также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уголовную ответственность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за использование поддельных средств идентификации.</w:t>
      </w:r>
    </w:p>
    <w:p w14:paraId="5F7FEE5A" w14:textId="77777777" w:rsidR="0053086B" w:rsidRPr="003138CA" w:rsidRDefault="0053086B" w:rsidP="003138CA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r w:rsidRPr="003138CA">
        <w:rPr>
          <w:b/>
          <w:bCs/>
          <w:color w:val="1F497D" w:themeColor="text2"/>
          <w:sz w:val="32"/>
          <w:szCs w:val="32"/>
          <w:lang w:eastAsia="en-US"/>
        </w:rPr>
        <w:t>Молочная продукция</w:t>
      </w:r>
    </w:p>
    <w:p w14:paraId="49E7E3FD" w14:textId="32885035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С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1 декабря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разрешено вводить в оборот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молочную продукцию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со сроком годности не более 40 суток, только если у нее есть маркировка. Это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4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касается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в том числе товаров, у которых несколько сроков годности и минимальный из них не превышает 40 суток.</w:t>
      </w:r>
    </w:p>
    <w:p w14:paraId="60222CF6" w14:textId="38C98699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8"/>
          <w:rFonts w:ascii="PT Serif" w:hAnsi="PT Serif"/>
          <w:color w:val="000000"/>
          <w:sz w:val="23"/>
          <w:szCs w:val="23"/>
          <w:bdr w:val="none" w:sz="0" w:space="0" w:color="auto" w:frame="1"/>
        </w:rPr>
        <w:t>Производители и импортеры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должны обеспечивать нанесение кодов на упаковку и отчитываться об этом через систему "Честный знак", а также передавать в нее информацию о вводе маркированных товаров в оборот. Фермеры и сельхозкооперативы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4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пока освобождены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от маркировки.</w:t>
      </w:r>
    </w:p>
    <w:p w14:paraId="1A23C138" w14:textId="77777777" w:rsidR="0053086B" w:rsidRPr="003F5829" w:rsidRDefault="0053086B" w:rsidP="003F5829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r w:rsidRPr="003F5829">
        <w:rPr>
          <w:b/>
          <w:bCs/>
          <w:color w:val="1F497D" w:themeColor="text2"/>
          <w:sz w:val="32"/>
          <w:szCs w:val="32"/>
          <w:lang w:eastAsia="en-US"/>
        </w:rPr>
        <w:t>Минеральная вода</w:t>
      </w:r>
    </w:p>
    <w:p w14:paraId="68B851BD" w14:textId="0FE8926A" w:rsidR="0053086B" w:rsidRDefault="0053086B" w:rsidP="0053086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Для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4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упакованной минеральной воды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тоже ввели обязательную маркировку. Обеспечивать ее наличие должны импортеры и производители. С 1 декабря они обязаны передавать в систему "Честный знак" данные о нанесении штрихкодов и вводе продукции в оборот. Информацию о других операциях надо будет направлять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3F5829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в следующем году</w:t>
      </w:r>
      <w:r>
        <w:rPr>
          <w:rFonts w:ascii="PT Serif" w:hAnsi="PT Serif"/>
          <w:color w:val="000000"/>
          <w:sz w:val="23"/>
          <w:szCs w:val="23"/>
        </w:rPr>
        <w:t>.</w:t>
      </w:r>
    </w:p>
    <w:sectPr w:rsidR="0053086B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22"/>
    <w:multiLevelType w:val="multilevel"/>
    <w:tmpl w:val="559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7C2A"/>
    <w:multiLevelType w:val="multilevel"/>
    <w:tmpl w:val="791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36279"/>
    <w:multiLevelType w:val="multilevel"/>
    <w:tmpl w:val="2B1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71FD5"/>
    <w:multiLevelType w:val="multilevel"/>
    <w:tmpl w:val="F22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382C64"/>
    <w:multiLevelType w:val="multilevel"/>
    <w:tmpl w:val="8A1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5"/>
  </w:num>
  <w:num w:numId="10">
    <w:abstractNumId w:val="19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20"/>
  </w:num>
  <w:num w:numId="16">
    <w:abstractNumId w:val="14"/>
  </w:num>
  <w:num w:numId="17">
    <w:abstractNumId w:val="16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021AB"/>
    <w:rsid w:val="0008111E"/>
    <w:rsid w:val="000A140F"/>
    <w:rsid w:val="000A4527"/>
    <w:rsid w:val="000A4A4D"/>
    <w:rsid w:val="000B227A"/>
    <w:rsid w:val="001350E8"/>
    <w:rsid w:val="00155CE5"/>
    <w:rsid w:val="00190853"/>
    <w:rsid w:val="001B58F9"/>
    <w:rsid w:val="001E0A4B"/>
    <w:rsid w:val="001E2048"/>
    <w:rsid w:val="001E2F82"/>
    <w:rsid w:val="001E5AA0"/>
    <w:rsid w:val="001F73D0"/>
    <w:rsid w:val="00221113"/>
    <w:rsid w:val="002214F3"/>
    <w:rsid w:val="00251E68"/>
    <w:rsid w:val="0029354D"/>
    <w:rsid w:val="002B6460"/>
    <w:rsid w:val="002C5337"/>
    <w:rsid w:val="002D04F3"/>
    <w:rsid w:val="0030601F"/>
    <w:rsid w:val="0031353D"/>
    <w:rsid w:val="003138CA"/>
    <w:rsid w:val="00336D46"/>
    <w:rsid w:val="00357560"/>
    <w:rsid w:val="003B2738"/>
    <w:rsid w:val="003D716A"/>
    <w:rsid w:val="003F5829"/>
    <w:rsid w:val="00404F48"/>
    <w:rsid w:val="00406049"/>
    <w:rsid w:val="004309BD"/>
    <w:rsid w:val="004A7FD3"/>
    <w:rsid w:val="0051337A"/>
    <w:rsid w:val="005221B8"/>
    <w:rsid w:val="0053086B"/>
    <w:rsid w:val="005405EC"/>
    <w:rsid w:val="00570E47"/>
    <w:rsid w:val="0058611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322A9"/>
    <w:rsid w:val="0074672A"/>
    <w:rsid w:val="007B1C55"/>
    <w:rsid w:val="007B693E"/>
    <w:rsid w:val="007F121F"/>
    <w:rsid w:val="007F157F"/>
    <w:rsid w:val="007F341B"/>
    <w:rsid w:val="007F7AC5"/>
    <w:rsid w:val="0083260C"/>
    <w:rsid w:val="00845DC5"/>
    <w:rsid w:val="00854BB2"/>
    <w:rsid w:val="0087073E"/>
    <w:rsid w:val="00875198"/>
    <w:rsid w:val="008759B4"/>
    <w:rsid w:val="00892D20"/>
    <w:rsid w:val="008C7184"/>
    <w:rsid w:val="008E6571"/>
    <w:rsid w:val="008F4E91"/>
    <w:rsid w:val="00904957"/>
    <w:rsid w:val="00962CF9"/>
    <w:rsid w:val="00974E07"/>
    <w:rsid w:val="00976636"/>
    <w:rsid w:val="009C1BD5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D5BEC"/>
    <w:rsid w:val="00C345D0"/>
    <w:rsid w:val="00C97E9C"/>
    <w:rsid w:val="00CB4EE1"/>
    <w:rsid w:val="00CC7452"/>
    <w:rsid w:val="00CE164F"/>
    <w:rsid w:val="00CE6684"/>
    <w:rsid w:val="00D17453"/>
    <w:rsid w:val="00D37327"/>
    <w:rsid w:val="00D377B6"/>
    <w:rsid w:val="00D56AFE"/>
    <w:rsid w:val="00D97FD5"/>
    <w:rsid w:val="00DF2F3A"/>
    <w:rsid w:val="00E121CE"/>
    <w:rsid w:val="00E47CE9"/>
    <w:rsid w:val="00E941BC"/>
    <w:rsid w:val="00EE1DED"/>
    <w:rsid w:val="00F16587"/>
    <w:rsid w:val="00F54546"/>
    <w:rsid w:val="00F9133C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2538&amp;dst=100009" TargetMode="External"/><Relationship Id="rId18" Type="http://schemas.openxmlformats.org/officeDocument/2006/relationships/hyperlink" Target="https://login.consultant.ru/link/?req=doc&amp;base=LAW&amp;n=401543&amp;dst=100061" TargetMode="External"/><Relationship Id="rId26" Type="http://schemas.openxmlformats.org/officeDocument/2006/relationships/hyperlink" Target="https://login.consultant.ru/link/?req=doc&amp;base=LAW&amp;n=377513&amp;dst=103685" TargetMode="External"/><Relationship Id="rId39" Type="http://schemas.openxmlformats.org/officeDocument/2006/relationships/hyperlink" Target="https://login.consultant.ru/link/?req=doc&amp;base=LAW&amp;n=402046&amp;dst=100534" TargetMode="External"/><Relationship Id="rId21" Type="http://schemas.openxmlformats.org/officeDocument/2006/relationships/hyperlink" Target="https://login.consultant.ru/link/?req=doc&amp;base=LAW&amp;n=401543&amp;dst=100104" TargetMode="External"/><Relationship Id="rId34" Type="http://schemas.openxmlformats.org/officeDocument/2006/relationships/hyperlink" Target="https://login.consultant.ru/link/?req=doc&amp;base=LAW&amp;n=388995&amp;dst=100343" TargetMode="External"/><Relationship Id="rId42" Type="http://schemas.openxmlformats.org/officeDocument/2006/relationships/hyperlink" Target="https://login.consultant.ru/link/?req=doc&amp;base=LAW&amp;n=385620&amp;dst=100013" TargetMode="External"/><Relationship Id="rId7" Type="http://schemas.openxmlformats.org/officeDocument/2006/relationships/hyperlink" Target="https://login.consultant.ru/link/?req=doc&amp;base=LAW&amp;n=393343&amp;dst=1000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4981&amp;dst=100209" TargetMode="External"/><Relationship Id="rId20" Type="http://schemas.openxmlformats.org/officeDocument/2006/relationships/hyperlink" Target="https://login.consultant.ru/link/?req=doc&amp;base=LAW&amp;n=401543&amp;dst=100094" TargetMode="External"/><Relationship Id="rId29" Type="http://schemas.openxmlformats.org/officeDocument/2006/relationships/hyperlink" Target="https://login.consultant.ru/link/?req=doc&amp;base=QUEST&amp;n=208108&amp;dst=100009" TargetMode="External"/><Relationship Id="rId41" Type="http://schemas.openxmlformats.org/officeDocument/2006/relationships/hyperlink" Target="https://login.consultant.ru/link/?req=doc&amp;base=LAW&amp;n=402046&amp;dst=1004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63995&amp;dst=265" TargetMode="External"/><Relationship Id="rId11" Type="http://schemas.openxmlformats.org/officeDocument/2006/relationships/hyperlink" Target="https://login.consultant.ru/link/?req=doc&amp;base=LAW&amp;n=386440&amp;dst=100010" TargetMode="External"/><Relationship Id="rId24" Type="http://schemas.openxmlformats.org/officeDocument/2006/relationships/hyperlink" Target="https://login.consultant.ru/link/?req=doc&amp;base=LAW&amp;n=401543&amp;dst=100113" TargetMode="External"/><Relationship Id="rId32" Type="http://schemas.openxmlformats.org/officeDocument/2006/relationships/hyperlink" Target="https://login.consultant.ru/link/?req=doc&amp;base=LAW&amp;n=389202&amp;dst=4999" TargetMode="External"/><Relationship Id="rId37" Type="http://schemas.openxmlformats.org/officeDocument/2006/relationships/hyperlink" Target="https://login.consultant.ru/link/?req=doc&amp;base=LAW&amp;n=388914&amp;dst=100009" TargetMode="External"/><Relationship Id="rId40" Type="http://schemas.openxmlformats.org/officeDocument/2006/relationships/hyperlink" Target="https://login.consultant.ru/link/?req=doc&amp;base=LAW&amp;n=401769&amp;dst=100022" TargetMode="External"/><Relationship Id="rId5" Type="http://schemas.openxmlformats.org/officeDocument/2006/relationships/hyperlink" Target="https://login.consultant.ru/link/?req=doc&amp;base=LAW&amp;n=363995&amp;dst=264" TargetMode="External"/><Relationship Id="rId15" Type="http://schemas.openxmlformats.org/officeDocument/2006/relationships/hyperlink" Target="https://login.consultant.ru/link/?req=doc&amp;base=LAW&amp;n=384981&amp;dst=100273" TargetMode="External"/><Relationship Id="rId23" Type="http://schemas.openxmlformats.org/officeDocument/2006/relationships/hyperlink" Target="https://login.consultant.ru/link/?req=doc&amp;base=LAW&amp;n=401543&amp;dst=100112" TargetMode="External"/><Relationship Id="rId28" Type="http://schemas.openxmlformats.org/officeDocument/2006/relationships/hyperlink" Target="https://login.consultant.ru/link/?req=doc&amp;base=QUEST&amp;n=201605&amp;dst=100011" TargetMode="External"/><Relationship Id="rId36" Type="http://schemas.openxmlformats.org/officeDocument/2006/relationships/hyperlink" Target="https://login.consultant.ru/link/?req=doc&amp;base=LAW&amp;n=386896&amp;dst=100018" TargetMode="External"/><Relationship Id="rId10" Type="http://schemas.openxmlformats.org/officeDocument/2006/relationships/hyperlink" Target="https://login.consultant.ru/link/?req=doc&amp;base=LAW&amp;n=365338&amp;dst=100156" TargetMode="External"/><Relationship Id="rId19" Type="http://schemas.openxmlformats.org/officeDocument/2006/relationships/hyperlink" Target="https://login.consultant.ru/link/?req=doc&amp;base=LAW&amp;n=401543&amp;dst=100086" TargetMode="External"/><Relationship Id="rId31" Type="http://schemas.openxmlformats.org/officeDocument/2006/relationships/hyperlink" Target="https://login.consultant.ru/link/?req=doc&amp;base=LAW&amp;n=401216&amp;dst=10000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5338&amp;dst=100022" TargetMode="External"/><Relationship Id="rId14" Type="http://schemas.openxmlformats.org/officeDocument/2006/relationships/hyperlink" Target="https://login.consultant.ru/link/?req=doc&amp;base=LAW&amp;n=401543&amp;dst=100040" TargetMode="External"/><Relationship Id="rId22" Type="http://schemas.openxmlformats.org/officeDocument/2006/relationships/hyperlink" Target="https://login.consultant.ru/link/?req=doc&amp;base=LAW&amp;n=401543&amp;dst=100111" TargetMode="External"/><Relationship Id="rId27" Type="http://schemas.openxmlformats.org/officeDocument/2006/relationships/hyperlink" Target="https://login.consultant.ru/link/?req=doc&amp;base=LAW&amp;n=398102&amp;dst=100184" TargetMode="External"/><Relationship Id="rId30" Type="http://schemas.openxmlformats.org/officeDocument/2006/relationships/hyperlink" Target="https://login.consultant.ru/link/?req=doc&amp;base=LAW&amp;n=137553&amp;dst=100026" TargetMode="External"/><Relationship Id="rId35" Type="http://schemas.openxmlformats.org/officeDocument/2006/relationships/hyperlink" Target="https://login.consultant.ru/link/?req=doc&amp;base=LAW&amp;n=387669&amp;dst=9576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14504&amp;dst=100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86440&amp;dst=100065" TargetMode="External"/><Relationship Id="rId17" Type="http://schemas.openxmlformats.org/officeDocument/2006/relationships/hyperlink" Target="https://login.consultant.ru/link/?req=doc&amp;base=LAW&amp;n=401543&amp;dst=100053" TargetMode="External"/><Relationship Id="rId25" Type="http://schemas.openxmlformats.org/officeDocument/2006/relationships/hyperlink" Target="https://login.consultant.ru/link/?req=doc&amp;base=LAW&amp;n=401543&amp;dst=100117" TargetMode="External"/><Relationship Id="rId33" Type="http://schemas.openxmlformats.org/officeDocument/2006/relationships/hyperlink" Target="https://login.consultant.ru/link/?req=doc&amp;base=LAW&amp;n=401711&amp;dst=18296" TargetMode="External"/><Relationship Id="rId38" Type="http://schemas.openxmlformats.org/officeDocument/2006/relationships/hyperlink" Target="https://login.consultant.ru/link/?req=doc&amp;base=LAW&amp;n=402046&amp;dst=100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2021-12-14T08:23:00Z</dcterms:created>
  <dcterms:modified xsi:type="dcterms:W3CDTF">2021-12-14T08:23:00Z</dcterms:modified>
</cp:coreProperties>
</file>