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EA35" w14:textId="0BCCC9DD" w:rsidR="00570E47" w:rsidRPr="00570E47" w:rsidRDefault="00A46CCC" w:rsidP="00570E47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iCs/>
          <w:sz w:val="32"/>
          <w:szCs w:val="32"/>
          <w:lang w:eastAsia="en-US"/>
        </w:rPr>
      </w:pPr>
      <w:r w:rsidRPr="00A46CCC">
        <w:rPr>
          <w:iCs/>
          <w:sz w:val="32"/>
          <w:szCs w:val="32"/>
          <w:lang w:eastAsia="en-US"/>
        </w:rPr>
        <w:t>Январские новшества 2022 года в работе специалиста по закупкам</w:t>
      </w:r>
      <w:r>
        <w:rPr>
          <w:rFonts w:ascii="PT Serif" w:hAnsi="PT Serif"/>
          <w:color w:val="000000"/>
          <w:sz w:val="23"/>
          <w:szCs w:val="23"/>
        </w:rPr>
        <w:br/>
      </w:r>
    </w:p>
    <w:p w14:paraId="40055B62" w14:textId="787EFBD3" w:rsidR="00A46CCC" w:rsidRPr="00A46CCC" w:rsidRDefault="00A46CCC" w:rsidP="00A46CCC">
      <w:pPr>
        <w:spacing w:line="286" w:lineRule="atLeast"/>
        <w:jc w:val="left"/>
        <w:rPr>
          <w:rFonts w:ascii="PT Serif" w:hAnsi="PT Serif"/>
          <w:sz w:val="23"/>
          <w:szCs w:val="23"/>
        </w:rPr>
      </w:pPr>
      <w:r w:rsidRPr="00A46CCC">
        <w:rPr>
          <w:rFonts w:ascii="PT Serif" w:hAnsi="PT Serif"/>
          <w:sz w:val="23"/>
          <w:szCs w:val="23"/>
        </w:rPr>
        <w:t xml:space="preserve">С нового года заработают значимые изменения в закупках. Вступят в силу отдельные оптимизационные поправки, увеличат обязательную долю госзакупок у СМП и СОНКО, а также закупок по Закону N 223-ФЗ у СМСП. Начнут применять специальные сроки оплаты госконтрактов для федеральных нужд. </w:t>
      </w:r>
    </w:p>
    <w:p w14:paraId="288FA10F" w14:textId="77777777" w:rsidR="00A46CCC" w:rsidRPr="00A46CCC" w:rsidRDefault="00A46CCC" w:rsidP="00A46CCC">
      <w:pPr>
        <w:pStyle w:val="2"/>
        <w:shd w:val="clear" w:color="auto" w:fill="FFFFFF"/>
        <w:spacing w:before="0" w:after="0" w:line="286" w:lineRule="atLeast"/>
        <w:textAlignment w:val="baseline"/>
        <w:rPr>
          <w:rStyle w:val="a7"/>
          <w:color w:val="1F497D" w:themeColor="text2"/>
          <w:sz w:val="33"/>
          <w:szCs w:val="33"/>
          <w:bdr w:val="none" w:sz="0" w:space="0" w:color="auto" w:frame="1"/>
        </w:rPr>
      </w:pPr>
      <w:r w:rsidRPr="00A46CCC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Оптимизационные поправки в госзакупках</w:t>
      </w:r>
    </w:p>
    <w:p w14:paraId="292289DA" w14:textId="77777777" w:rsidR="00A46CCC" w:rsidRDefault="00A46CCC" w:rsidP="00A46CCC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Улучшили процедуру определения поставщика, подрядчика, исполнителя:</w:t>
      </w:r>
    </w:p>
    <w:p w14:paraId="2D0F3C06" w14:textId="70B8D641" w:rsidR="00A46CCC" w:rsidRDefault="00A46CCC" w:rsidP="00A46CCC">
      <w:pPr>
        <w:numPr>
          <w:ilvl w:val="0"/>
          <w:numId w:val="22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сократили количество способов закупок. Из их числа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исключили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двухэтапные конкурсы, конкурсы с ограниченным участием, запросы предложений;</w:t>
      </w:r>
    </w:p>
    <w:p w14:paraId="3C7E8520" w14:textId="5117756D" w:rsidR="00A46CCC" w:rsidRDefault="00A46CCC" w:rsidP="00A46CCC">
      <w:pPr>
        <w:numPr>
          <w:ilvl w:val="0"/>
          <w:numId w:val="22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сделали извещение основным закупочным документом. Документация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нужна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лишь для закрытых процедур;</w:t>
      </w:r>
    </w:p>
    <w:p w14:paraId="5CC5F963" w14:textId="27CD5A28" w:rsidR="00A46CCC" w:rsidRDefault="00A46CCC" w:rsidP="00A46CCC">
      <w:pPr>
        <w:numPr>
          <w:ilvl w:val="0"/>
          <w:numId w:val="22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скорректировали требования к участникам. В частности, ввели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 xml:space="preserve">универсальную </w:t>
        </w:r>
        <w:proofErr w:type="spellStart"/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предквалификацию</w:t>
        </w:r>
        <w:proofErr w:type="spellEnd"/>
      </w:hyperlink>
      <w:r>
        <w:rPr>
          <w:rFonts w:ascii="PT Serif" w:hAnsi="PT Serif"/>
          <w:color w:val="0E0E0E"/>
          <w:sz w:val="23"/>
          <w:szCs w:val="23"/>
        </w:rPr>
        <w:t>;</w:t>
      </w:r>
    </w:p>
    <w:p w14:paraId="31FD1FDC" w14:textId="426BE13E" w:rsidR="00A46CCC" w:rsidRDefault="00A46CCC" w:rsidP="00A46CCC">
      <w:pPr>
        <w:numPr>
          <w:ilvl w:val="0"/>
          <w:numId w:val="22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уточнили положения о закупках с преференциями для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организаций инвалидов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или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учреждений (предприятий) УИС</w:t>
        </w:r>
      </w:hyperlink>
      <w:r>
        <w:rPr>
          <w:rFonts w:ascii="PT Serif" w:hAnsi="PT Serif"/>
          <w:color w:val="0E0E0E"/>
          <w:sz w:val="23"/>
          <w:szCs w:val="23"/>
        </w:rPr>
        <w:t>. Так, цену контракта с победителем из их числа надо увеличивать на 15% (но не выше НМЦК);</w:t>
      </w:r>
    </w:p>
    <w:p w14:paraId="56BC0D0B" w14:textId="45BCADBE" w:rsidR="00A46CCC" w:rsidRDefault="00A46CCC" w:rsidP="00A46CCC">
      <w:pPr>
        <w:numPr>
          <w:ilvl w:val="0"/>
          <w:numId w:val="22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заменили банковские гарантии независимыми. Для обеспечения контрактов и заявок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примут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гарантии не только банков, но и ряда других лиц, например региональных гарантийных организаций.</w:t>
      </w:r>
    </w:p>
    <w:p w14:paraId="1DBA67B1" w14:textId="62431704" w:rsidR="00A46CCC" w:rsidRDefault="00A46CCC" w:rsidP="00A46CCC">
      <w:pPr>
        <w:spacing w:after="1" w:line="220" w:lineRule="atLeast"/>
        <w:jc w:val="left"/>
      </w:pPr>
      <w:r w:rsidRPr="00A46CCC">
        <w:rPr>
          <w:i/>
          <w:iCs/>
          <w:sz w:val="22"/>
          <w:szCs w:val="22"/>
        </w:rPr>
        <w:t xml:space="preserve">Документ: </w:t>
      </w:r>
      <w:hyperlink r:id="rId11" w:history="1">
        <w:r w:rsidRPr="001A52B1">
          <w:rPr>
            <w:rStyle w:val="a3"/>
            <w:iCs/>
            <w:color w:val="413A61"/>
            <w:sz w:val="23"/>
            <w:szCs w:val="23"/>
            <w:bdr w:val="none" w:sz="0" w:space="0" w:color="auto" w:frame="1"/>
          </w:rPr>
          <w:br/>
          <w:t xml:space="preserve">Федеральный закон от 02.07.2021 N 360-ФЗ </w:t>
        </w:r>
      </w:hyperlink>
      <w:r w:rsidRPr="001A52B1">
        <w:rPr>
          <w:rStyle w:val="a3"/>
          <w:iCs/>
          <w:color w:val="413A61"/>
          <w:sz w:val="23"/>
          <w:szCs w:val="23"/>
          <w:bdr w:val="none" w:sz="0" w:space="0" w:color="auto" w:frame="1"/>
        </w:rPr>
        <w:br/>
      </w:r>
    </w:p>
    <w:p w14:paraId="0D15EF9E" w14:textId="77777777" w:rsidR="001A52B1" w:rsidRDefault="001A52B1" w:rsidP="001A52B1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b w:val="0"/>
          <w:bCs w:val="0"/>
          <w:color w:val="000000"/>
          <w:sz w:val="23"/>
          <w:szCs w:val="23"/>
        </w:rPr>
      </w:pPr>
      <w:r w:rsidRPr="001A52B1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Закупки у малого и среднего бизнеса</w:t>
      </w:r>
    </w:p>
    <w:p w14:paraId="1D963DB1" w14:textId="7737F67B" w:rsidR="001A52B1" w:rsidRDefault="001A52B1" w:rsidP="001A52B1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Увеличили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обязательную долю закупок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у СМП и СОНКО по Закону N 44-ФЗ. Она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составит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не менее 25% СГОЗ.</w:t>
      </w:r>
    </w:p>
    <w:p w14:paraId="27C9791B" w14:textId="0C53B005" w:rsidR="001A52B1" w:rsidRDefault="001A52B1" w:rsidP="001A52B1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hyperlink r:id="rId1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Доля участия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СМСП в закупках по Закону N 223-ФЗ тоже станет больше. ГОЗ у них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составит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не менее 25% совокупного стоимостного объема договоров. Долю стоимости договоров с СМСП по результатам закупок, в которых могут участвовать только эти субъекты, увеличили до 20%.</w:t>
      </w:r>
    </w:p>
    <w:p w14:paraId="7737D76C" w14:textId="2EB62B0D" w:rsidR="001A52B1" w:rsidRDefault="001A52B1" w:rsidP="001A52B1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Достигать минимума обязали почти всех заказчиков по Закону N 223-ФЗ. Правила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могут не применять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только юрлица из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ч. 2 ст. 1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этого Закона, если они СМСП.</w:t>
      </w:r>
    </w:p>
    <w:p w14:paraId="3450498A" w14:textId="6388E04A" w:rsidR="001A52B1" w:rsidRDefault="001A52B1" w:rsidP="001A52B1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8"/>
          <w:rFonts w:ascii="PT Serif" w:hAnsi="PT Serif"/>
          <w:color w:val="000000"/>
          <w:sz w:val="23"/>
          <w:szCs w:val="23"/>
          <w:bdr w:val="none" w:sz="0" w:space="0" w:color="auto" w:frame="1"/>
        </w:rPr>
        <w:t>Документы:</w:t>
      </w:r>
      <w:r>
        <w:rPr>
          <w:rStyle w:val="apple-converted-space"/>
          <w:rFonts w:ascii="PT Serif" w:hAnsi="PT Serif"/>
          <w:i/>
          <w:iCs/>
          <w:color w:val="000000"/>
          <w:sz w:val="23"/>
          <w:szCs w:val="23"/>
          <w:bdr w:val="none" w:sz="0" w:space="0" w:color="auto" w:frame="1"/>
        </w:rPr>
        <w:t> </w:t>
      </w:r>
      <w:hyperlink r:id="rId18" w:history="1">
        <w:r>
          <w:rPr>
            <w:rStyle w:val="a3"/>
            <w:rFonts w:ascii="PT Serif" w:hAnsi="PT Serif"/>
            <w:i/>
            <w:iCs/>
            <w:color w:val="413A61"/>
            <w:sz w:val="23"/>
            <w:szCs w:val="23"/>
            <w:bdr w:val="none" w:sz="0" w:space="0" w:color="auto" w:frame="1"/>
          </w:rPr>
          <w:t>Федеральный закон от 01.07.2021 N 277-ФЗ</w:t>
        </w:r>
      </w:hyperlink>
    </w:p>
    <w:p w14:paraId="0721FDFD" w14:textId="5E320FDD" w:rsidR="001A52B1" w:rsidRDefault="001A52B1" w:rsidP="001A52B1">
      <w:pPr>
        <w:pStyle w:val="a6"/>
        <w:shd w:val="clear" w:color="auto" w:fill="FFFFFF"/>
        <w:spacing w:before="0" w:after="0" w:line="286" w:lineRule="atLeast"/>
        <w:textAlignment w:val="baseline"/>
        <w:rPr>
          <w:rStyle w:val="a8"/>
          <w:rFonts w:ascii="PT Serif" w:hAnsi="PT Serif"/>
          <w:color w:val="000000"/>
          <w:sz w:val="23"/>
          <w:szCs w:val="23"/>
          <w:bdr w:val="none" w:sz="0" w:space="0" w:color="auto" w:frame="1"/>
        </w:rPr>
      </w:pPr>
      <w:hyperlink r:id="rId19" w:history="1">
        <w:r>
          <w:rPr>
            <w:rStyle w:val="a3"/>
            <w:rFonts w:ascii="PT Serif" w:hAnsi="PT Serif"/>
            <w:i/>
            <w:iCs/>
            <w:color w:val="413A61"/>
            <w:sz w:val="23"/>
            <w:szCs w:val="23"/>
            <w:bdr w:val="none" w:sz="0" w:space="0" w:color="auto" w:frame="1"/>
          </w:rPr>
          <w:t>Постановление Правительства РФ от 07.07.2021 N 1128</w:t>
        </w:r>
      </w:hyperlink>
    </w:p>
    <w:p w14:paraId="00278517" w14:textId="77777777" w:rsidR="008539A0" w:rsidRPr="008539A0" w:rsidRDefault="008539A0" w:rsidP="008539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1F497D" w:themeColor="text2"/>
          <w:sz w:val="33"/>
          <w:szCs w:val="33"/>
          <w:bdr w:val="none" w:sz="0" w:space="0" w:color="auto" w:frame="1"/>
        </w:rPr>
      </w:pPr>
      <w:r w:rsidRPr="008539A0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Сроки оплаты госконтракта для федеральных нужд</w:t>
      </w:r>
    </w:p>
    <w:p w14:paraId="0729666D" w14:textId="7B0DD18B" w:rsidR="008539A0" w:rsidRDefault="008539A0" w:rsidP="008539A0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lastRenderedPageBreak/>
        <w:t>Федеральные заказчики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должны указывать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в контрактах предельный срок оплаты:</w:t>
      </w:r>
    </w:p>
    <w:p w14:paraId="5A4B1760" w14:textId="77777777" w:rsidR="008539A0" w:rsidRDefault="008539A0" w:rsidP="008539A0">
      <w:pPr>
        <w:numPr>
          <w:ilvl w:val="0"/>
          <w:numId w:val="23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7 рабочих дней — при закупке у СМП и СОНКО;</w:t>
      </w:r>
    </w:p>
    <w:p w14:paraId="0DCC9370" w14:textId="77777777" w:rsidR="008539A0" w:rsidRDefault="008539A0" w:rsidP="008539A0">
      <w:pPr>
        <w:numPr>
          <w:ilvl w:val="0"/>
          <w:numId w:val="23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10 рабочих дней — при остальных закупках.</w:t>
      </w:r>
    </w:p>
    <w:p w14:paraId="7C40E482" w14:textId="77777777" w:rsidR="008539A0" w:rsidRDefault="008539A0" w:rsidP="008539A0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Условие действует, если контракт не содержит гостайну и на лицевом счете заказчика достаточно денег для оплаты обязательств.</w:t>
      </w:r>
    </w:p>
    <w:p w14:paraId="608B519A" w14:textId="0B8B7F67" w:rsidR="008539A0" w:rsidRDefault="008539A0" w:rsidP="008539A0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В декабрьских контрактах надо указывать специальные условия оплаты: отдельно для тех, которые исполнят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 1-го по 20-е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число, и тех, что исполнят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 21-го по 31-е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число включительно. Кроме, например,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некоторых закупок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 xml:space="preserve">у </w:t>
      </w:r>
      <w:proofErr w:type="spellStart"/>
      <w:r>
        <w:rPr>
          <w:rFonts w:ascii="PT Serif" w:hAnsi="PT Serif"/>
          <w:color w:val="000000"/>
          <w:sz w:val="23"/>
          <w:szCs w:val="23"/>
        </w:rPr>
        <w:t>едпоставщика</w:t>
      </w:r>
      <w:proofErr w:type="spellEnd"/>
      <w:r>
        <w:rPr>
          <w:rFonts w:ascii="PT Serif" w:hAnsi="PT Serif"/>
          <w:color w:val="000000"/>
          <w:sz w:val="23"/>
          <w:szCs w:val="23"/>
        </w:rPr>
        <w:t>.</w:t>
      </w:r>
    </w:p>
    <w:p w14:paraId="5BC65CE2" w14:textId="24FE7FF2" w:rsidR="008539A0" w:rsidRDefault="008539A0" w:rsidP="008539A0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8"/>
          <w:rFonts w:ascii="PT Serif" w:hAnsi="PT Serif"/>
          <w:color w:val="000000"/>
          <w:sz w:val="23"/>
          <w:szCs w:val="23"/>
          <w:bdr w:val="none" w:sz="0" w:space="0" w:color="auto" w:frame="1"/>
        </w:rPr>
        <w:t>Документ:</w:t>
      </w:r>
      <w:r>
        <w:rPr>
          <w:rStyle w:val="apple-converted-space"/>
          <w:rFonts w:ascii="PT Serif" w:hAnsi="PT Serif"/>
          <w:i/>
          <w:iCs/>
          <w:color w:val="000000"/>
          <w:sz w:val="23"/>
          <w:szCs w:val="23"/>
          <w:bdr w:val="none" w:sz="0" w:space="0" w:color="auto" w:frame="1"/>
        </w:rPr>
        <w:t> </w:t>
      </w:r>
      <w:hyperlink r:id="rId24" w:history="1">
        <w:r>
          <w:rPr>
            <w:rStyle w:val="a3"/>
            <w:rFonts w:ascii="PT Serif" w:hAnsi="PT Serif"/>
            <w:i/>
            <w:iCs/>
            <w:color w:val="413A61"/>
            <w:sz w:val="23"/>
            <w:szCs w:val="23"/>
            <w:bdr w:val="none" w:sz="0" w:space="0" w:color="auto" w:frame="1"/>
          </w:rPr>
          <w:t>Постановление Правительства РФ от 28.06.2021 N 1034</w:t>
        </w:r>
      </w:hyperlink>
    </w:p>
    <w:p w14:paraId="63E61F12" w14:textId="77777777" w:rsidR="008539A0" w:rsidRPr="008539A0" w:rsidRDefault="008539A0" w:rsidP="008539A0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color w:val="1F497D" w:themeColor="text2"/>
          <w:sz w:val="33"/>
          <w:szCs w:val="33"/>
          <w:bdr w:val="none" w:sz="0" w:space="0" w:color="auto" w:frame="1"/>
        </w:rPr>
      </w:pPr>
      <w:r w:rsidRPr="008539A0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Квотирование музыкальных инструментов в госзакупках</w:t>
      </w:r>
    </w:p>
    <w:p w14:paraId="0E42CEA2" w14:textId="419D46DC" w:rsidR="008539A0" w:rsidRDefault="008539A0" w:rsidP="008539A0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Правительство дополнило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2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перечень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квотируемых товаров новыми видами музыкальных инструментов, например:</w:t>
      </w:r>
    </w:p>
    <w:p w14:paraId="33FDCF34" w14:textId="47F092EF" w:rsidR="008539A0" w:rsidRDefault="008539A0" w:rsidP="008539A0">
      <w:pPr>
        <w:numPr>
          <w:ilvl w:val="0"/>
          <w:numId w:val="24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hyperlink r:id="rId2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32.20.11.110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— фортепиано;</w:t>
      </w:r>
    </w:p>
    <w:p w14:paraId="2B02DA21" w14:textId="0700877A" w:rsidR="008539A0" w:rsidRDefault="008539A0" w:rsidP="008539A0">
      <w:pPr>
        <w:numPr>
          <w:ilvl w:val="0"/>
          <w:numId w:val="24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hyperlink r:id="rId2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32.20.12.111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— скрипки;</w:t>
      </w:r>
    </w:p>
    <w:p w14:paraId="2776EE78" w14:textId="1503A512" w:rsidR="008539A0" w:rsidRDefault="008539A0" w:rsidP="008539A0">
      <w:pPr>
        <w:numPr>
          <w:ilvl w:val="0"/>
          <w:numId w:val="24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hyperlink r:id="rId2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32.20.12.122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— гитары.</w:t>
      </w:r>
    </w:p>
    <w:p w14:paraId="18A73A34" w14:textId="181D5F35" w:rsidR="008539A0" w:rsidRDefault="008539A0" w:rsidP="008539A0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a8"/>
          <w:rFonts w:ascii="PT Serif" w:hAnsi="PT Serif"/>
          <w:color w:val="000000"/>
          <w:sz w:val="23"/>
          <w:szCs w:val="23"/>
          <w:bdr w:val="none" w:sz="0" w:space="0" w:color="auto" w:frame="1"/>
        </w:rPr>
        <w:t>Документ:</w:t>
      </w:r>
      <w:r>
        <w:rPr>
          <w:rStyle w:val="apple-converted-space"/>
          <w:rFonts w:ascii="PT Serif" w:hAnsi="PT Serif"/>
          <w:i/>
          <w:iCs/>
          <w:color w:val="000000"/>
          <w:sz w:val="23"/>
          <w:szCs w:val="23"/>
          <w:bdr w:val="none" w:sz="0" w:space="0" w:color="auto" w:frame="1"/>
        </w:rPr>
        <w:t> </w:t>
      </w:r>
      <w:hyperlink r:id="rId29" w:history="1">
        <w:r>
          <w:rPr>
            <w:rStyle w:val="a3"/>
            <w:rFonts w:ascii="PT Serif" w:hAnsi="PT Serif"/>
            <w:i/>
            <w:iCs/>
            <w:color w:val="413A61"/>
            <w:sz w:val="23"/>
            <w:szCs w:val="23"/>
            <w:bdr w:val="none" w:sz="0" w:space="0" w:color="auto" w:frame="1"/>
          </w:rPr>
          <w:t>Постановление Правительства РФ от 24.06.2021 N 983</w:t>
        </w:r>
      </w:hyperlink>
    </w:p>
    <w:sectPr w:rsidR="008539A0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12A37"/>
    <w:multiLevelType w:val="multilevel"/>
    <w:tmpl w:val="67A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D7078"/>
    <w:multiLevelType w:val="multilevel"/>
    <w:tmpl w:val="E628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856E9"/>
    <w:multiLevelType w:val="multilevel"/>
    <w:tmpl w:val="F0A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17"/>
  </w:num>
  <w:num w:numId="10">
    <w:abstractNumId w:val="22"/>
  </w:num>
  <w:num w:numId="11">
    <w:abstractNumId w:val="20"/>
  </w:num>
  <w:num w:numId="12">
    <w:abstractNumId w:val="10"/>
  </w:num>
  <w:num w:numId="13">
    <w:abstractNumId w:val="14"/>
  </w:num>
  <w:num w:numId="14">
    <w:abstractNumId w:val="15"/>
  </w:num>
  <w:num w:numId="15">
    <w:abstractNumId w:val="23"/>
  </w:num>
  <w:num w:numId="16">
    <w:abstractNumId w:val="16"/>
  </w:num>
  <w:num w:numId="17">
    <w:abstractNumId w:val="19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13"/>
  </w:num>
  <w:num w:numId="23">
    <w:abstractNumId w:val="9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8111E"/>
    <w:rsid w:val="000A140F"/>
    <w:rsid w:val="000A4527"/>
    <w:rsid w:val="000A4A4D"/>
    <w:rsid w:val="000B227A"/>
    <w:rsid w:val="001350E8"/>
    <w:rsid w:val="00155CE5"/>
    <w:rsid w:val="00190853"/>
    <w:rsid w:val="001A52B1"/>
    <w:rsid w:val="001B58F9"/>
    <w:rsid w:val="001E0A4B"/>
    <w:rsid w:val="001E2048"/>
    <w:rsid w:val="001E2F82"/>
    <w:rsid w:val="001E5AA0"/>
    <w:rsid w:val="001F73D0"/>
    <w:rsid w:val="00221113"/>
    <w:rsid w:val="002214F3"/>
    <w:rsid w:val="00251E68"/>
    <w:rsid w:val="0029354D"/>
    <w:rsid w:val="002B6460"/>
    <w:rsid w:val="002C5337"/>
    <w:rsid w:val="002D04F3"/>
    <w:rsid w:val="0030601F"/>
    <w:rsid w:val="0031353D"/>
    <w:rsid w:val="003138CA"/>
    <w:rsid w:val="00336D46"/>
    <w:rsid w:val="00357560"/>
    <w:rsid w:val="003B2738"/>
    <w:rsid w:val="003D716A"/>
    <w:rsid w:val="003F5829"/>
    <w:rsid w:val="00404F48"/>
    <w:rsid w:val="00406049"/>
    <w:rsid w:val="004309BD"/>
    <w:rsid w:val="004A7FD3"/>
    <w:rsid w:val="0051337A"/>
    <w:rsid w:val="005221B8"/>
    <w:rsid w:val="0053086B"/>
    <w:rsid w:val="005405EC"/>
    <w:rsid w:val="00570E47"/>
    <w:rsid w:val="00586118"/>
    <w:rsid w:val="005B2081"/>
    <w:rsid w:val="005D55B8"/>
    <w:rsid w:val="005D760F"/>
    <w:rsid w:val="005E64E7"/>
    <w:rsid w:val="005F2A1B"/>
    <w:rsid w:val="00611601"/>
    <w:rsid w:val="00631596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39A0"/>
    <w:rsid w:val="00854BB2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C1BD5"/>
    <w:rsid w:val="009C6A0E"/>
    <w:rsid w:val="009C7550"/>
    <w:rsid w:val="009F3976"/>
    <w:rsid w:val="00A17ED5"/>
    <w:rsid w:val="00A35DB6"/>
    <w:rsid w:val="00A4684A"/>
    <w:rsid w:val="00A46CCC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345D0"/>
    <w:rsid w:val="00C97E9C"/>
    <w:rsid w:val="00CB4EE1"/>
    <w:rsid w:val="00CC7452"/>
    <w:rsid w:val="00CE164F"/>
    <w:rsid w:val="00CE6684"/>
    <w:rsid w:val="00D17453"/>
    <w:rsid w:val="00D37327"/>
    <w:rsid w:val="00D377B6"/>
    <w:rsid w:val="00D56AFE"/>
    <w:rsid w:val="00D97FD5"/>
    <w:rsid w:val="00DF2F3A"/>
    <w:rsid w:val="00E121CE"/>
    <w:rsid w:val="00E47CE9"/>
    <w:rsid w:val="00E941BC"/>
    <w:rsid w:val="00EE1DED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19&amp;dst=100208" TargetMode="External"/><Relationship Id="rId13" Type="http://schemas.openxmlformats.org/officeDocument/2006/relationships/hyperlink" Target="https://login.consultant.ru/link/?req=doc&amp;base=LAW&amp;n=388794&amp;dst=100021" TargetMode="External"/><Relationship Id="rId18" Type="http://schemas.openxmlformats.org/officeDocument/2006/relationships/hyperlink" Target="https://login.consultant.ru/link/?req=doc&amp;base=LAW&amp;n=388794&amp;dst=100021" TargetMode="External"/><Relationship Id="rId26" Type="http://schemas.openxmlformats.org/officeDocument/2006/relationships/hyperlink" Target="https://login.consultant.ru/link/?req=doc&amp;base=LAW&amp;n=388340&amp;dst=100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9233&amp;dst=100080" TargetMode="External"/><Relationship Id="rId7" Type="http://schemas.openxmlformats.org/officeDocument/2006/relationships/hyperlink" Target="https://login.consultant.ru/link/?req=doc&amp;base=LAW&amp;n=389219&amp;dst=100227" TargetMode="External"/><Relationship Id="rId12" Type="http://schemas.openxmlformats.org/officeDocument/2006/relationships/hyperlink" Target="consultantplus://offline/ref=main?base=law;n=389509;dst=101857" TargetMode="External"/><Relationship Id="rId17" Type="http://schemas.openxmlformats.org/officeDocument/2006/relationships/hyperlink" Target="https://login.consultant.ru/link/?req=doc&amp;base=LAW&amp;n=388927&amp;dst=100010" TargetMode="External"/><Relationship Id="rId25" Type="http://schemas.openxmlformats.org/officeDocument/2006/relationships/hyperlink" Target="https://login.consultant.ru/link/?req=doc&amp;base=LAW&amp;n=370114&amp;dst=100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0055&amp;dst=100018" TargetMode="External"/><Relationship Id="rId20" Type="http://schemas.openxmlformats.org/officeDocument/2006/relationships/hyperlink" Target="https://login.consultant.ru/link/?req=doc&amp;base=LAW&amp;n=389233&amp;dst=100078" TargetMode="External"/><Relationship Id="rId29" Type="http://schemas.openxmlformats.org/officeDocument/2006/relationships/hyperlink" Target="https://login.consultant.ru/link/?req=doc&amp;base=LAW&amp;n=388340&amp;dst=1000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219&amp;dst=100731" TargetMode="External"/><Relationship Id="rId11" Type="http://schemas.openxmlformats.org/officeDocument/2006/relationships/hyperlink" Target="https://login.consultant.ru/link/?req=doc&amp;base=LAW&amp;n=389219&amp;dst=100004" TargetMode="External"/><Relationship Id="rId24" Type="http://schemas.openxmlformats.org/officeDocument/2006/relationships/hyperlink" Target="https://login.consultant.ru/link/?req=doc&amp;base=LAW&amp;n=389233&amp;dst=100077" TargetMode="External"/><Relationship Id="rId5" Type="http://schemas.openxmlformats.org/officeDocument/2006/relationships/hyperlink" Target="https://login.consultant.ru/link/?req=doc&amp;base=LAW&amp;n=389219&amp;dst=100102" TargetMode="External"/><Relationship Id="rId15" Type="http://schemas.openxmlformats.org/officeDocument/2006/relationships/hyperlink" Target="https://login.consultant.ru/link/?req=doc&amp;base=LAW&amp;n=390055&amp;dst=100022" TargetMode="External"/><Relationship Id="rId23" Type="http://schemas.openxmlformats.org/officeDocument/2006/relationships/hyperlink" Target="https://login.consultant.ru/link/?req=doc&amp;base=LAW&amp;n=389233&amp;dst=100085" TargetMode="External"/><Relationship Id="rId28" Type="http://schemas.openxmlformats.org/officeDocument/2006/relationships/hyperlink" Target="https://login.consultant.ru/link/?req=doc&amp;base=LAW&amp;n=388340&amp;dst=100056" TargetMode="External"/><Relationship Id="rId10" Type="http://schemas.openxmlformats.org/officeDocument/2006/relationships/hyperlink" Target="https://login.consultant.ru/link/?req=doc&amp;base=LAW&amp;n=389219&amp;dst=100472" TargetMode="External"/><Relationship Id="rId19" Type="http://schemas.openxmlformats.org/officeDocument/2006/relationships/hyperlink" Target="https://login.consultant.ru/link/?req=doc&amp;base=LAW&amp;n=390055&amp;dst=1000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219&amp;dst=100204" TargetMode="External"/><Relationship Id="rId14" Type="http://schemas.openxmlformats.org/officeDocument/2006/relationships/hyperlink" Target="https://login.consultant.ru/link/?req=doc&amp;base=LAW&amp;n=388098&amp;dst=228" TargetMode="External"/><Relationship Id="rId22" Type="http://schemas.openxmlformats.org/officeDocument/2006/relationships/hyperlink" Target="https://login.consultant.ru/link/?req=doc&amp;base=LAW&amp;n=389233&amp;dst=100081" TargetMode="External"/><Relationship Id="rId27" Type="http://schemas.openxmlformats.org/officeDocument/2006/relationships/hyperlink" Target="https://login.consultant.ru/link/?req=doc&amp;base=LAW&amp;n=388340&amp;dst=1000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2021-12-14T11:28:00Z</dcterms:created>
  <dcterms:modified xsi:type="dcterms:W3CDTF">2021-12-14T11:28:00Z</dcterms:modified>
</cp:coreProperties>
</file>