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BF9E" w14:textId="77777777" w:rsidR="00EF2559" w:rsidRDefault="00E3097A" w:rsidP="00EF255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</w:pPr>
      <w:r w:rsidRPr="00827AF1">
        <w:rPr>
          <w:iCs/>
          <w:sz w:val="32"/>
          <w:szCs w:val="32"/>
          <w:lang w:eastAsia="en-US"/>
        </w:rPr>
        <w:t>Чего ждать от налогов в 2022 году: факты и прогнозы</w:t>
      </w:r>
      <w:r>
        <w:rPr>
          <w:rFonts w:ascii="PT Serif" w:hAnsi="PT Serif"/>
          <w:color w:val="000000"/>
          <w:sz w:val="23"/>
          <w:szCs w:val="23"/>
        </w:rPr>
        <w:br/>
      </w:r>
    </w:p>
    <w:p w14:paraId="3E2058BC" w14:textId="61AC0E69" w:rsidR="00E3097A" w:rsidRPr="00E3097A" w:rsidRDefault="00E3097A" w:rsidP="00EF255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1F497D" w:themeColor="text2"/>
          <w:sz w:val="33"/>
          <w:szCs w:val="33"/>
          <w:bdr w:val="none" w:sz="0" w:space="0" w:color="auto" w:frame="1"/>
        </w:rPr>
      </w:pPr>
      <w:r w:rsidRPr="00E3097A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>Единый налоговый платеж</w:t>
      </w:r>
    </w:p>
    <w:p w14:paraId="6128EBA7" w14:textId="08A106EF" w:rsidR="00E3097A" w:rsidRDefault="00EF2559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Во</w:t>
      </w:r>
      <w:r w:rsidR="00E3097A">
        <w:rPr>
          <w:rFonts w:ascii="PT Serif" w:hAnsi="PT Serif"/>
          <w:color w:val="000000"/>
          <w:sz w:val="23"/>
          <w:szCs w:val="23"/>
        </w:rPr>
        <w:t xml:space="preserve"> второй половине 2022 года организации смогут применять особый порядок уплаты налогов — единый налоговый платеж (ЕНП).</w:t>
      </w:r>
      <w:r>
        <w:rPr>
          <w:rFonts w:ascii="PT Serif" w:hAnsi="PT Serif"/>
          <w:color w:val="000000"/>
          <w:sz w:val="23"/>
          <w:szCs w:val="23"/>
        </w:rPr>
        <w:t xml:space="preserve"> В</w:t>
      </w:r>
      <w:r w:rsidR="00E3097A">
        <w:rPr>
          <w:rFonts w:ascii="PT Serif" w:hAnsi="PT Serif"/>
          <w:color w:val="000000"/>
          <w:sz w:val="23"/>
          <w:szCs w:val="23"/>
        </w:rPr>
        <w:t>озможность перейти на уплату ЕНП станет постоянной.</w:t>
      </w:r>
    </w:p>
    <w:p w14:paraId="79E5425A" w14:textId="11C6C90C" w:rsidR="00E3097A" w:rsidRDefault="00E3097A" w:rsidP="00E3097A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Если налогоплательщик проведет сверку расчетов с инспекцией и в апреле подаст заявление, то он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 w:rsidRPr="00175060">
        <w:rPr>
          <w:rFonts w:ascii="PT Serif" w:hAnsi="PT Serif"/>
          <w:color w:val="000000"/>
          <w:sz w:val="23"/>
          <w:szCs w:val="23"/>
          <w:bdr w:val="none" w:sz="0" w:space="0" w:color="auto" w:frame="1"/>
        </w:rPr>
        <w:t>сможет перечислить ЕНП</w:t>
      </w:r>
      <w:r>
        <w:rPr>
          <w:rFonts w:ascii="PT Serif" w:hAnsi="PT Serif"/>
          <w:color w:val="000000"/>
          <w:sz w:val="23"/>
          <w:szCs w:val="23"/>
        </w:rPr>
        <w:t>. Дальше налоговики сами засчитают эту сумму в счет уплаты ряда налогов, авансов по ним, взносов, сборов, пеней, штрафов и процентов.</w:t>
      </w:r>
    </w:p>
    <w:p w14:paraId="6B2F6AFB" w14:textId="77777777" w:rsidR="00E3097A" w:rsidRDefault="00E3097A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Полагаем, что такой порядок уплаты продлят, а в дальнейшем право перейти на него станет бессрочным. Похожие правила с 2019 года могут применять физлица.</w:t>
      </w:r>
    </w:p>
    <w:p w14:paraId="15281BCB" w14:textId="77777777" w:rsidR="00E3097A" w:rsidRPr="00EF2559" w:rsidRDefault="00E3097A" w:rsidP="00EF255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1F497D" w:themeColor="text2"/>
          <w:sz w:val="33"/>
          <w:szCs w:val="33"/>
          <w:bdr w:val="none" w:sz="0" w:space="0" w:color="auto" w:frame="1"/>
        </w:rPr>
      </w:pPr>
      <w:r w:rsidRPr="00EF2559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 xml:space="preserve">Новый </w:t>
      </w:r>
      <w:proofErr w:type="spellStart"/>
      <w:r w:rsidRPr="00EF2559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>спецрежим</w:t>
      </w:r>
      <w:proofErr w:type="spellEnd"/>
    </w:p>
    <w:p w14:paraId="3EBEF0EB" w14:textId="6D6C2EC7" w:rsidR="00E3097A" w:rsidRDefault="00175060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П</w:t>
      </w:r>
      <w:r w:rsidR="00E3097A">
        <w:rPr>
          <w:rFonts w:ascii="PT Serif" w:hAnsi="PT Serif"/>
          <w:color w:val="000000"/>
          <w:sz w:val="23"/>
          <w:szCs w:val="23"/>
        </w:rPr>
        <w:t xml:space="preserve">равительство планирует экспериментом ввести новый </w:t>
      </w:r>
      <w:proofErr w:type="spellStart"/>
      <w:r w:rsidR="00E3097A">
        <w:rPr>
          <w:rFonts w:ascii="PT Serif" w:hAnsi="PT Serif"/>
          <w:color w:val="000000"/>
          <w:sz w:val="23"/>
          <w:szCs w:val="23"/>
        </w:rPr>
        <w:t>спецрежим</w:t>
      </w:r>
      <w:proofErr w:type="spellEnd"/>
      <w:r w:rsidR="00E3097A">
        <w:rPr>
          <w:rFonts w:ascii="PT Serif" w:hAnsi="PT Serif"/>
          <w:color w:val="000000"/>
          <w:sz w:val="23"/>
          <w:szCs w:val="23"/>
        </w:rPr>
        <w:t xml:space="preserve"> для микропредприятий — автоматизированную УСН.</w:t>
      </w:r>
    </w:p>
    <w:p w14:paraId="3E2D4DB9" w14:textId="7B52A2C9" w:rsidR="00E3097A" w:rsidRDefault="00175060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В будущем,</w:t>
      </w:r>
      <w:r w:rsidR="00E3097A">
        <w:rPr>
          <w:rFonts w:ascii="PT Serif" w:hAnsi="PT Serif"/>
          <w:color w:val="000000"/>
          <w:sz w:val="23"/>
          <w:szCs w:val="23"/>
        </w:rPr>
        <w:t xml:space="preserve"> б</w:t>
      </w:r>
      <w:proofErr w:type="spellStart"/>
      <w:r w:rsidR="00E3097A">
        <w:rPr>
          <w:rFonts w:ascii="PT Serif" w:hAnsi="PT Serif"/>
          <w:color w:val="000000"/>
          <w:sz w:val="23"/>
          <w:szCs w:val="23"/>
        </w:rPr>
        <w:t>ездекларационный</w:t>
      </w:r>
      <w:proofErr w:type="spellEnd"/>
      <w:r w:rsidR="00E3097A">
        <w:rPr>
          <w:rFonts w:ascii="PT Serif" w:hAnsi="PT Serif"/>
          <w:color w:val="000000"/>
          <w:sz w:val="23"/>
          <w:szCs w:val="23"/>
        </w:rPr>
        <w:t xml:space="preserve"> налоговый режим для микропредприятий</w:t>
      </w:r>
      <w:r>
        <w:rPr>
          <w:rFonts w:ascii="PT Serif" w:hAnsi="PT Serif"/>
          <w:color w:val="000000"/>
          <w:sz w:val="23"/>
          <w:szCs w:val="23"/>
        </w:rPr>
        <w:t>,</w:t>
      </w:r>
      <w:r w:rsidR="00E3097A">
        <w:rPr>
          <w:rFonts w:ascii="PT Serif" w:hAnsi="PT Serif"/>
          <w:color w:val="000000"/>
          <w:sz w:val="23"/>
          <w:szCs w:val="23"/>
        </w:rPr>
        <w:t xml:space="preserve"> будет действовать по всей стране бессрочно.</w:t>
      </w:r>
    </w:p>
    <w:p w14:paraId="6B0B90B0" w14:textId="487B4C9B" w:rsidR="00E3097A" w:rsidRDefault="00E3097A" w:rsidP="00E3097A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Госдума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 w:rsidRPr="00175060">
        <w:rPr>
          <w:rFonts w:ascii="PT Serif" w:hAnsi="PT Serif"/>
          <w:color w:val="000000"/>
          <w:sz w:val="23"/>
          <w:szCs w:val="23"/>
          <w:bdr w:val="none" w:sz="0" w:space="0" w:color="auto" w:frame="1"/>
        </w:rPr>
        <w:t>приняла в первом чтении проекты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об экспериментальном налоговом режиме. Пока планируют ввести его с 1 июля 2022 года на 5,5 лет в 4-х регионах (Москве и Подмосковье, Калужской области и Татарстане). Налогоплательщиков, которые перейдут на автоматизированную УСН, освободят от налоговой отчетности: все сведения о доходах и расходах инспекции получат от банков, через ККТ и с помощью личных кабинетов.</w:t>
      </w:r>
    </w:p>
    <w:p w14:paraId="35BAB204" w14:textId="788BB6E4" w:rsidR="00E3097A" w:rsidRDefault="00E3097A" w:rsidP="00E3097A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 xml:space="preserve">О введении </w:t>
      </w:r>
      <w:proofErr w:type="spellStart"/>
      <w:r>
        <w:rPr>
          <w:rFonts w:ascii="PT Serif" w:hAnsi="PT Serif"/>
          <w:color w:val="000000"/>
          <w:sz w:val="23"/>
          <w:szCs w:val="23"/>
        </w:rPr>
        <w:t>спецрежима</w:t>
      </w:r>
      <w:proofErr w:type="spellEnd"/>
      <w:r>
        <w:rPr>
          <w:rFonts w:ascii="PT Serif" w:hAnsi="PT Serif"/>
          <w:color w:val="000000"/>
          <w:sz w:val="23"/>
          <w:szCs w:val="23"/>
        </w:rPr>
        <w:t>, который бы снизил административную нагрузку на микропредприятия, не раз говорили Минфин и ФНС. Более того, этот пункт отдельно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 w:rsidRPr="00175060">
        <w:rPr>
          <w:rFonts w:ascii="PT Serif" w:hAnsi="PT Serif"/>
          <w:color w:val="000000"/>
          <w:sz w:val="23"/>
          <w:szCs w:val="23"/>
          <w:bdr w:val="none" w:sz="0" w:space="0" w:color="auto" w:frame="1"/>
        </w:rPr>
        <w:t>отразили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в основных направлениях налоговой политики на ближайшие 3 года.</w:t>
      </w:r>
    </w:p>
    <w:p w14:paraId="564C0384" w14:textId="77777777" w:rsidR="00E3097A" w:rsidRDefault="00E3097A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Полагаем, в дальнейшем географию эксперимента расширят, как было, например, с проектом "Прямые выплаты". Хотя, вероятно, ожидать этого в 2022 году не стоит, поскольку сначала ведомства постараются наладить взаимодействие налогоплательщиков и инспекций, выявить сложности и скорректировать правила.</w:t>
      </w:r>
    </w:p>
    <w:p w14:paraId="3D2FC468" w14:textId="77777777" w:rsidR="00E3097A" w:rsidRPr="00EF2559" w:rsidRDefault="00E3097A" w:rsidP="00EF255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1F497D" w:themeColor="text2"/>
          <w:sz w:val="33"/>
          <w:szCs w:val="33"/>
          <w:bdr w:val="none" w:sz="0" w:space="0" w:color="auto" w:frame="1"/>
        </w:rPr>
      </w:pPr>
      <w:r w:rsidRPr="00EF2559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>Электронный документооборот</w:t>
      </w:r>
    </w:p>
    <w:p w14:paraId="6C8EA15F" w14:textId="7A07AB7E" w:rsidR="00E3097A" w:rsidRDefault="00EF2559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О</w:t>
      </w:r>
      <w:r w:rsidR="00E3097A">
        <w:rPr>
          <w:rFonts w:ascii="PT Serif" w:hAnsi="PT Serif"/>
          <w:color w:val="000000"/>
          <w:sz w:val="23"/>
          <w:szCs w:val="23"/>
        </w:rPr>
        <w:t>тношения с ПФР и ФСС становятся все более "электронными".</w:t>
      </w:r>
    </w:p>
    <w:p w14:paraId="36D1A050" w14:textId="753AC16B" w:rsidR="00E3097A" w:rsidRDefault="00EF2559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lastRenderedPageBreak/>
        <w:t>Следовательно,</w:t>
      </w:r>
      <w:r w:rsidR="00E3097A">
        <w:rPr>
          <w:rFonts w:ascii="PT Serif" w:hAnsi="PT Serif"/>
          <w:color w:val="000000"/>
          <w:sz w:val="23"/>
          <w:szCs w:val="23"/>
        </w:rPr>
        <w:t xml:space="preserve"> расширится круг документов, которые можно или нужно подавать в электронном виде.</w:t>
      </w:r>
    </w:p>
    <w:p w14:paraId="22FFFEFF" w14:textId="120F994F" w:rsidR="00E3097A" w:rsidRDefault="00E3097A" w:rsidP="00E3097A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Госдума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 w:rsidRPr="00175060">
        <w:rPr>
          <w:rFonts w:ascii="PT Serif" w:hAnsi="PT Serif"/>
          <w:color w:val="000000"/>
          <w:sz w:val="23"/>
          <w:szCs w:val="23"/>
          <w:bdr w:val="none" w:sz="0" w:space="0" w:color="auto" w:frame="1"/>
        </w:rPr>
        <w:t>приняла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в третьем чтении проект, по которому подавать отчетность в ПФР и ФСС страхователь может не только лично, но и через представителя, в том числе по электронной доверенности. Кроме того, снижают порог, при котором еще нет обязанности сдавать отчетность по "</w:t>
      </w:r>
      <w:proofErr w:type="spellStart"/>
      <w:r>
        <w:rPr>
          <w:rFonts w:ascii="PT Serif" w:hAnsi="PT Serif"/>
          <w:color w:val="000000"/>
          <w:sz w:val="23"/>
          <w:szCs w:val="23"/>
        </w:rPr>
        <w:t>электронке</w:t>
      </w:r>
      <w:proofErr w:type="spellEnd"/>
      <w:r>
        <w:rPr>
          <w:rFonts w:ascii="PT Serif" w:hAnsi="PT Serif"/>
          <w:color w:val="000000"/>
          <w:sz w:val="23"/>
          <w:szCs w:val="23"/>
        </w:rPr>
        <w:t>": лимит в 25 работников понизили до 10.</w:t>
      </w:r>
    </w:p>
    <w:p w14:paraId="51E63F9F" w14:textId="6F018649" w:rsidR="00E3097A" w:rsidRDefault="00E3097A" w:rsidP="00E3097A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С 1 января 2022 года в электронном виде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 w:rsidRPr="00175060">
        <w:rPr>
          <w:rFonts w:ascii="PT Serif" w:hAnsi="PT Serif"/>
          <w:color w:val="000000"/>
          <w:sz w:val="23"/>
          <w:szCs w:val="23"/>
          <w:bdr w:val="none" w:sz="0" w:space="0" w:color="auto" w:frame="1"/>
        </w:rPr>
        <w:t>разрешают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использовать транспортную накладную, заказ-наряд, сопроводительную ведомость и перевозочные документы.</w:t>
      </w:r>
    </w:p>
    <w:p w14:paraId="09239F71" w14:textId="77777777" w:rsidR="00E3097A" w:rsidRDefault="00E3097A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Минфин также предлагает дать возможность подавать электронные банковские гарантии, например, при заявительном порядке возмещения НДС и акцизов.</w:t>
      </w:r>
    </w:p>
    <w:p w14:paraId="36A85C03" w14:textId="77777777" w:rsidR="00E3097A" w:rsidRDefault="00E3097A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Полагаем, что тенденция продолжится и все больше операций можно будет проводить без бумажных документов.</w:t>
      </w:r>
    </w:p>
    <w:p w14:paraId="73DEAE23" w14:textId="77777777" w:rsidR="00E3097A" w:rsidRPr="00EF2559" w:rsidRDefault="00E3097A" w:rsidP="00EF255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1F497D" w:themeColor="text2"/>
          <w:sz w:val="33"/>
          <w:szCs w:val="33"/>
          <w:bdr w:val="none" w:sz="0" w:space="0" w:color="auto" w:frame="1"/>
        </w:rPr>
      </w:pPr>
      <w:r w:rsidRPr="00EF2559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>Налоговый контроль</w:t>
      </w:r>
    </w:p>
    <w:p w14:paraId="40CB66C2" w14:textId="2D8244CF" w:rsidR="00E3097A" w:rsidRDefault="00EF2559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Д</w:t>
      </w:r>
      <w:r w:rsidR="00E3097A">
        <w:rPr>
          <w:rFonts w:ascii="PT Serif" w:hAnsi="PT Serif"/>
          <w:color w:val="000000"/>
          <w:sz w:val="23"/>
          <w:szCs w:val="23"/>
        </w:rPr>
        <w:t xml:space="preserve">ля </w:t>
      </w:r>
      <w:proofErr w:type="spellStart"/>
      <w:r w:rsidR="00E3097A">
        <w:rPr>
          <w:rFonts w:ascii="PT Serif" w:hAnsi="PT Serif"/>
          <w:color w:val="000000"/>
          <w:sz w:val="23"/>
          <w:szCs w:val="23"/>
        </w:rPr>
        <w:t>финкомпаний</w:t>
      </w:r>
      <w:proofErr w:type="spellEnd"/>
      <w:r w:rsidR="00E3097A">
        <w:rPr>
          <w:rFonts w:ascii="PT Serif" w:hAnsi="PT Serif"/>
          <w:color w:val="000000"/>
          <w:sz w:val="23"/>
          <w:szCs w:val="23"/>
        </w:rPr>
        <w:t xml:space="preserve"> и их клиентов вводят новые налоговые штрафы.</w:t>
      </w:r>
    </w:p>
    <w:p w14:paraId="5631E5A2" w14:textId="4263AC7C" w:rsidR="00E3097A" w:rsidRDefault="00EF2559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Таким образом,</w:t>
      </w:r>
      <w:r w:rsidR="00E3097A">
        <w:rPr>
          <w:rFonts w:ascii="PT Serif" w:hAnsi="PT Serif"/>
          <w:color w:val="000000"/>
          <w:sz w:val="23"/>
          <w:szCs w:val="23"/>
        </w:rPr>
        <w:t xml:space="preserve"> усилится контроль за выгодоприобретателями и контролирующими лицами финорганизаций.</w:t>
      </w:r>
    </w:p>
    <w:p w14:paraId="53436ACA" w14:textId="42953136" w:rsidR="00E3097A" w:rsidRDefault="00E3097A" w:rsidP="00E3097A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 xml:space="preserve">С 2022 года клиентов </w:t>
      </w:r>
      <w:proofErr w:type="spellStart"/>
      <w:r>
        <w:rPr>
          <w:rFonts w:ascii="PT Serif" w:hAnsi="PT Serif"/>
          <w:color w:val="000000"/>
          <w:sz w:val="23"/>
          <w:szCs w:val="23"/>
        </w:rPr>
        <w:t>финкомпаний</w:t>
      </w:r>
      <w:proofErr w:type="spellEnd"/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 w:rsidRPr="00175060">
        <w:rPr>
          <w:rFonts w:ascii="PT Serif" w:hAnsi="PT Serif"/>
          <w:color w:val="000000"/>
          <w:sz w:val="23"/>
          <w:szCs w:val="23"/>
          <w:bdr w:val="none" w:sz="0" w:space="0" w:color="auto" w:frame="1"/>
        </w:rPr>
        <w:t>могут оштрафовать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за неполное или недостоверное информирование о себе, выгодоприобретателях или контролирующих лицах. Уточнят и налоговые санкции для самих финансовых организаций.</w:t>
      </w:r>
    </w:p>
    <w:p w14:paraId="5C64B9A6" w14:textId="6C20DA55" w:rsidR="00E3097A" w:rsidRDefault="00E3097A" w:rsidP="00E3097A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Поправки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приняли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по рекомендациям ОЭСР, чтобы противодействовать уклонению от уплаты налогов. Полагаем, контроль в этой сфере продолжат усиливать.</w:t>
      </w:r>
    </w:p>
    <w:p w14:paraId="1F32EF39" w14:textId="77777777" w:rsidR="00E3097A" w:rsidRPr="00EF2559" w:rsidRDefault="00E3097A" w:rsidP="00EF255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1F497D" w:themeColor="text2"/>
          <w:sz w:val="33"/>
          <w:szCs w:val="33"/>
          <w:bdr w:val="none" w:sz="0" w:space="0" w:color="auto" w:frame="1"/>
        </w:rPr>
      </w:pPr>
      <w:r w:rsidRPr="00EF2559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>Блокировка счетов</w:t>
      </w:r>
    </w:p>
    <w:p w14:paraId="00100FFD" w14:textId="04DCF348" w:rsidR="00E3097A" w:rsidRDefault="00E3097A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ВС РФ запретил налоговикам блокировать счета ИП, которые он открывал как физлицо.</w:t>
      </w:r>
    </w:p>
    <w:p w14:paraId="03420BD2" w14:textId="3D36E32B" w:rsidR="00E3097A" w:rsidRDefault="00EF2559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 xml:space="preserve">Значит, </w:t>
      </w:r>
      <w:r w:rsidR="00E3097A">
        <w:rPr>
          <w:rFonts w:ascii="PT Serif" w:hAnsi="PT Serif"/>
          <w:color w:val="000000"/>
          <w:sz w:val="23"/>
          <w:szCs w:val="23"/>
        </w:rPr>
        <w:t>запрет на открытие новых счетов во время заморозки снимут.</w:t>
      </w:r>
    </w:p>
    <w:p w14:paraId="17CC1F88" w14:textId="241DAFB4" w:rsidR="00E3097A" w:rsidRDefault="00E3097A" w:rsidP="00E3097A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Рассматривая споры предпринимателей с налоговиками, ВС РФ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 w:rsidRPr="00E91D11">
        <w:rPr>
          <w:rFonts w:ascii="PT Serif" w:hAnsi="PT Serif"/>
          <w:color w:val="000000"/>
          <w:sz w:val="23"/>
          <w:szCs w:val="23"/>
          <w:bdr w:val="none" w:sz="0" w:space="0" w:color="auto" w:frame="1"/>
        </w:rPr>
        <w:t>разграничил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счета, которые они открывали как ИП и как физлица. Суд посчитал, что инспекция не может замораживать личные счета. На основании этого подхода АС Северо-Западного округа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пришел к выводу</w:t>
        </w:r>
      </w:hyperlink>
      <w:r>
        <w:rPr>
          <w:rFonts w:ascii="PT Serif" w:hAnsi="PT Serif"/>
          <w:color w:val="000000"/>
          <w:sz w:val="23"/>
          <w:szCs w:val="23"/>
        </w:rPr>
        <w:t>: открывая ИП счет как физлицу во время заморозки, банк ничего не нарушает.</w:t>
      </w:r>
    </w:p>
    <w:p w14:paraId="0CE253EF" w14:textId="35D9F434" w:rsidR="00E3097A" w:rsidRDefault="00E3097A" w:rsidP="00E3097A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В то же время Минфин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 w:rsidRPr="00E91D11">
        <w:rPr>
          <w:rFonts w:ascii="PT Serif" w:hAnsi="PT Serif"/>
          <w:color w:val="000000"/>
          <w:sz w:val="23"/>
          <w:szCs w:val="23"/>
          <w:bdr w:val="none" w:sz="0" w:space="0" w:color="auto" w:frame="1"/>
        </w:rPr>
        <w:t>заявил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о том, что планирует в целом отменить запрет на открытие новых счетов. Только на эти счета будет также распространяться блокировка.</w:t>
      </w:r>
    </w:p>
    <w:p w14:paraId="61BAA998" w14:textId="77777777" w:rsidR="00E3097A" w:rsidRDefault="00E3097A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lastRenderedPageBreak/>
        <w:t>Полагаем, скоро правительство представит проект таких поправок.</w:t>
      </w:r>
    </w:p>
    <w:p w14:paraId="51091596" w14:textId="77777777" w:rsidR="00E3097A" w:rsidRPr="00EF2559" w:rsidRDefault="00E3097A" w:rsidP="00EF255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1F497D" w:themeColor="text2"/>
          <w:sz w:val="33"/>
          <w:szCs w:val="33"/>
          <w:bdr w:val="none" w:sz="0" w:space="0" w:color="auto" w:frame="1"/>
        </w:rPr>
      </w:pPr>
      <w:r w:rsidRPr="00EF2559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>Цифровой рубль</w:t>
      </w:r>
    </w:p>
    <w:p w14:paraId="648DFC4C" w14:textId="7DB5BA5D" w:rsidR="00E3097A" w:rsidRDefault="00E3097A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ЦБ РФ запускает тестирование прототипа платформы цифрового рубля.</w:t>
      </w:r>
    </w:p>
    <w:p w14:paraId="3614E386" w14:textId="1870AD7C" w:rsidR="00E3097A" w:rsidRDefault="00EF2559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В</w:t>
      </w:r>
      <w:r w:rsidR="00E3097A">
        <w:rPr>
          <w:rFonts w:ascii="PT Serif" w:hAnsi="PT Serif"/>
          <w:color w:val="000000"/>
          <w:sz w:val="23"/>
          <w:szCs w:val="23"/>
        </w:rPr>
        <w:t xml:space="preserve"> течение года появятся проекты поправок о введении цифрового рубля, а также дорожная карта внедрения платформы.</w:t>
      </w:r>
    </w:p>
    <w:p w14:paraId="5A696571" w14:textId="402DD521" w:rsidR="00E3097A" w:rsidRDefault="00E3097A" w:rsidP="00E3097A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По проекту цифровизации финансового рынка на 2022–2024 годы первый этап тестирования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 w:rsidRPr="00E91D11">
        <w:rPr>
          <w:rFonts w:ascii="PT Serif" w:hAnsi="PT Serif"/>
          <w:color w:val="000000"/>
          <w:sz w:val="23"/>
          <w:szCs w:val="23"/>
          <w:bdr w:val="none" w:sz="0" w:space="0" w:color="auto" w:frame="1"/>
        </w:rPr>
        <w:t>начнется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уже в следующем году. Сначала это затронет банки и операции между физлицами. Далее круг подключенных к платформе будут расширять.</w:t>
      </w:r>
    </w:p>
    <w:p w14:paraId="1865911F" w14:textId="1DD7927F" w:rsidR="00E3097A" w:rsidRDefault="00E3097A" w:rsidP="00E3097A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Планируют также законодательно закрепить правовой статус цифрового рубля. Напомним, что на рассмотрении Госдумы уже находятся поправки к НК РФ о цифровой валюте. Однако документ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приняли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только в первом чтении.</w:t>
      </w:r>
    </w:p>
    <w:p w14:paraId="0B7D096A" w14:textId="77777777" w:rsidR="00E3097A" w:rsidRDefault="00E3097A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Полагаем, дальнейшее развитие идеи во многом зависит от того, как будет проходить тестирование. Скорее всего, с учетом полученной информации скорректируют и проект изменений законодательства.</w:t>
      </w:r>
    </w:p>
    <w:p w14:paraId="56DECEFE" w14:textId="77777777" w:rsidR="00E3097A" w:rsidRPr="00EF2559" w:rsidRDefault="00E3097A" w:rsidP="00EF2559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1F497D" w:themeColor="text2"/>
          <w:sz w:val="33"/>
          <w:szCs w:val="33"/>
          <w:bdr w:val="none" w:sz="0" w:space="0" w:color="auto" w:frame="1"/>
        </w:rPr>
      </w:pPr>
      <w:r w:rsidRPr="00EF2559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>Дистанционная работа</w:t>
      </w:r>
    </w:p>
    <w:p w14:paraId="3CB7DBE9" w14:textId="63D5A047" w:rsidR="00E3097A" w:rsidRDefault="00EF2559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М</w:t>
      </w:r>
      <w:r w:rsidR="00E3097A">
        <w:rPr>
          <w:rFonts w:ascii="PT Serif" w:hAnsi="PT Serif"/>
          <w:color w:val="000000"/>
          <w:sz w:val="23"/>
          <w:szCs w:val="23"/>
        </w:rPr>
        <w:t>инфин намерен уточнить налоговые правила для дистанционной работы.</w:t>
      </w:r>
    </w:p>
    <w:p w14:paraId="747C5A39" w14:textId="2ADE7541" w:rsidR="00E3097A" w:rsidRDefault="00EF2559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Значит с</w:t>
      </w:r>
      <w:r w:rsidR="00E3097A">
        <w:rPr>
          <w:rFonts w:ascii="PT Serif" w:hAnsi="PT Serif"/>
          <w:color w:val="000000"/>
          <w:sz w:val="23"/>
          <w:szCs w:val="23"/>
        </w:rPr>
        <w:t xml:space="preserve">корректируют правила уплаты НДФЛ и налога на прибыль для доходов и компенсаций </w:t>
      </w:r>
      <w:proofErr w:type="spellStart"/>
      <w:r w:rsidR="00E3097A">
        <w:rPr>
          <w:rFonts w:ascii="PT Serif" w:hAnsi="PT Serif"/>
          <w:color w:val="000000"/>
          <w:sz w:val="23"/>
          <w:szCs w:val="23"/>
        </w:rPr>
        <w:t>удаленщикам</w:t>
      </w:r>
      <w:proofErr w:type="spellEnd"/>
      <w:r w:rsidR="00E3097A">
        <w:rPr>
          <w:rFonts w:ascii="PT Serif" w:hAnsi="PT Serif"/>
          <w:color w:val="000000"/>
          <w:sz w:val="23"/>
          <w:szCs w:val="23"/>
        </w:rPr>
        <w:t>.</w:t>
      </w:r>
    </w:p>
    <w:p w14:paraId="619E4214" w14:textId="4F12599A" w:rsidR="00E3097A" w:rsidRDefault="00E3097A" w:rsidP="00E3097A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В пандемию многих сотрудников перевели на удаленку. Вероятно, в связи с этим Минфин захотел </w:t>
      </w:r>
      <w:hyperlink r:id="rId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пересмотреть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некоторые правила налогообложения выплат таким работникам. Особое значение приобретают вопросы налогового резидентства и получения доходов от трудовой деятельности за рубежом.</w:t>
      </w:r>
    </w:p>
    <w:p w14:paraId="0F59DF65" w14:textId="77777777" w:rsidR="00E3097A" w:rsidRDefault="00E3097A" w:rsidP="00E3097A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Возможно, скоро на рассмотрение Госдумы поступит пакет соответствующих поправок.</w:t>
      </w:r>
    </w:p>
    <w:sectPr w:rsidR="00E3097A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E22"/>
    <w:multiLevelType w:val="multilevel"/>
    <w:tmpl w:val="559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7C2A"/>
    <w:multiLevelType w:val="multilevel"/>
    <w:tmpl w:val="791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36279"/>
    <w:multiLevelType w:val="multilevel"/>
    <w:tmpl w:val="2B1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71FD5"/>
    <w:multiLevelType w:val="multilevel"/>
    <w:tmpl w:val="F22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465B1"/>
    <w:multiLevelType w:val="multilevel"/>
    <w:tmpl w:val="FBC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E63ED"/>
    <w:multiLevelType w:val="multilevel"/>
    <w:tmpl w:val="6C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382C64"/>
    <w:multiLevelType w:val="multilevel"/>
    <w:tmpl w:val="8A1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CF2F01"/>
    <w:multiLevelType w:val="multilevel"/>
    <w:tmpl w:val="CE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5"/>
  </w:num>
  <w:num w:numId="10">
    <w:abstractNumId w:val="19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20"/>
  </w:num>
  <w:num w:numId="16">
    <w:abstractNumId w:val="14"/>
  </w:num>
  <w:num w:numId="17">
    <w:abstractNumId w:val="16"/>
  </w:num>
  <w:num w:numId="18">
    <w:abstractNumId w:val="0"/>
  </w:num>
  <w:num w:numId="19">
    <w:abstractNumId w:val="4"/>
  </w:num>
  <w:num w:numId="20">
    <w:abstractNumId w:val="1"/>
  </w:num>
  <w:num w:numId="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021AB"/>
    <w:rsid w:val="0008111E"/>
    <w:rsid w:val="000A140F"/>
    <w:rsid w:val="000A4527"/>
    <w:rsid w:val="000A4A4D"/>
    <w:rsid w:val="000B227A"/>
    <w:rsid w:val="001350E8"/>
    <w:rsid w:val="00155CE5"/>
    <w:rsid w:val="00175060"/>
    <w:rsid w:val="00190853"/>
    <w:rsid w:val="001B58F9"/>
    <w:rsid w:val="001E0A4B"/>
    <w:rsid w:val="001E2048"/>
    <w:rsid w:val="001E2F82"/>
    <w:rsid w:val="001E5AA0"/>
    <w:rsid w:val="001F73D0"/>
    <w:rsid w:val="00221113"/>
    <w:rsid w:val="002214F3"/>
    <w:rsid w:val="00251E68"/>
    <w:rsid w:val="0029354D"/>
    <w:rsid w:val="002B6460"/>
    <w:rsid w:val="002C5337"/>
    <w:rsid w:val="002D04F3"/>
    <w:rsid w:val="0030601F"/>
    <w:rsid w:val="0031353D"/>
    <w:rsid w:val="003138CA"/>
    <w:rsid w:val="00336D46"/>
    <w:rsid w:val="00357560"/>
    <w:rsid w:val="003B2738"/>
    <w:rsid w:val="003D716A"/>
    <w:rsid w:val="003F5829"/>
    <w:rsid w:val="00404F48"/>
    <w:rsid w:val="00406049"/>
    <w:rsid w:val="004309BD"/>
    <w:rsid w:val="004A7FD3"/>
    <w:rsid w:val="0051337A"/>
    <w:rsid w:val="005221B8"/>
    <w:rsid w:val="0053086B"/>
    <w:rsid w:val="005405EC"/>
    <w:rsid w:val="00570E47"/>
    <w:rsid w:val="00586118"/>
    <w:rsid w:val="005B2081"/>
    <w:rsid w:val="005D55B8"/>
    <w:rsid w:val="005D760F"/>
    <w:rsid w:val="005E64E7"/>
    <w:rsid w:val="005F2A1B"/>
    <w:rsid w:val="00611601"/>
    <w:rsid w:val="006322D7"/>
    <w:rsid w:val="006A1847"/>
    <w:rsid w:val="006E7753"/>
    <w:rsid w:val="007322A9"/>
    <w:rsid w:val="0074672A"/>
    <w:rsid w:val="007B1C55"/>
    <w:rsid w:val="007B693E"/>
    <w:rsid w:val="007F121F"/>
    <w:rsid w:val="007F157F"/>
    <w:rsid w:val="007F341B"/>
    <w:rsid w:val="007F7AC5"/>
    <w:rsid w:val="0083260C"/>
    <w:rsid w:val="00845DC5"/>
    <w:rsid w:val="00854BB2"/>
    <w:rsid w:val="0087073E"/>
    <w:rsid w:val="00875198"/>
    <w:rsid w:val="008759B4"/>
    <w:rsid w:val="00892D20"/>
    <w:rsid w:val="008C7184"/>
    <w:rsid w:val="008E6571"/>
    <w:rsid w:val="008F4E91"/>
    <w:rsid w:val="00904957"/>
    <w:rsid w:val="00962CF9"/>
    <w:rsid w:val="00974E07"/>
    <w:rsid w:val="00976636"/>
    <w:rsid w:val="009C1BD5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B5614"/>
    <w:rsid w:val="00BD5BEC"/>
    <w:rsid w:val="00C345D0"/>
    <w:rsid w:val="00C97E9C"/>
    <w:rsid w:val="00CB4EE1"/>
    <w:rsid w:val="00CC7452"/>
    <w:rsid w:val="00CE164F"/>
    <w:rsid w:val="00CE6684"/>
    <w:rsid w:val="00D17453"/>
    <w:rsid w:val="00D37327"/>
    <w:rsid w:val="00D377B6"/>
    <w:rsid w:val="00D56AFE"/>
    <w:rsid w:val="00D97FD5"/>
    <w:rsid w:val="00DF2F3A"/>
    <w:rsid w:val="00E121CE"/>
    <w:rsid w:val="00E3097A"/>
    <w:rsid w:val="00E47CE9"/>
    <w:rsid w:val="00E91D11"/>
    <w:rsid w:val="00E941BC"/>
    <w:rsid w:val="00EE1DED"/>
    <w:rsid w:val="00EF2559"/>
    <w:rsid w:val="00F16587"/>
    <w:rsid w:val="00F54546"/>
    <w:rsid w:val="00F9133C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82">
                  <w:marLeft w:val="0"/>
                  <w:marRight w:val="0"/>
                  <w:marTop w:val="0"/>
                  <w:marBottom w:val="0"/>
                  <w:divBdr>
                    <w:top w:val="single" w:sz="12" w:space="0" w:color="DAC3FF"/>
                    <w:left w:val="single" w:sz="12" w:space="0" w:color="DAC3FF"/>
                    <w:bottom w:val="single" w:sz="12" w:space="0" w:color="DAC3FF"/>
                    <w:right w:val="single" w:sz="12" w:space="0" w:color="DAC3FF"/>
                  </w:divBdr>
                </w:div>
                <w:div w:id="727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203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957">
                  <w:marLeft w:val="0"/>
                  <w:marRight w:val="0"/>
                  <w:marTop w:val="0"/>
                  <w:marBottom w:val="0"/>
                  <w:divBdr>
                    <w:top w:val="single" w:sz="12" w:space="0" w:color="DEDDE0"/>
                    <w:left w:val="single" w:sz="12" w:space="0" w:color="DEDDE0"/>
                    <w:bottom w:val="single" w:sz="12" w:space="0" w:color="DEDDE0"/>
                    <w:right w:val="single" w:sz="12" w:space="0" w:color="DEDDE0"/>
                  </w:divBdr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48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93654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6691&amp;dst=103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PRJ&amp;n=204378&amp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SZ&amp;n=252009&amp;dst=100037" TargetMode="External"/><Relationship Id="rId5" Type="http://schemas.openxmlformats.org/officeDocument/2006/relationships/hyperlink" Target="https://login.consultant.ru/link/?req=doc&amp;base=PRJ&amp;n=207717&amp;dst=1000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3</cp:revision>
  <dcterms:created xsi:type="dcterms:W3CDTF">2021-12-23T07:41:00Z</dcterms:created>
  <dcterms:modified xsi:type="dcterms:W3CDTF">2021-12-23T07:58:00Z</dcterms:modified>
</cp:coreProperties>
</file>