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56F1" w14:textId="2A9C1B81" w:rsidR="00EA6DDB" w:rsidRPr="003B6377" w:rsidRDefault="003B6377" w:rsidP="00CA1A5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3B6377">
        <w:rPr>
          <w:iCs/>
          <w:sz w:val="32"/>
          <w:szCs w:val="32"/>
          <w:lang w:eastAsia="en-US"/>
        </w:rPr>
        <w:t>Отчетность и расчеты в феврале: что учесть в работе</w:t>
      </w:r>
    </w:p>
    <w:p w14:paraId="15C5C026" w14:textId="77777777" w:rsidR="001F7E5E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000000"/>
          <w:sz w:val="23"/>
          <w:szCs w:val="23"/>
        </w:rPr>
      </w:pPr>
    </w:p>
    <w:p w14:paraId="3828BFA2" w14:textId="77777777" w:rsidR="001F7E5E" w:rsidRPr="001F7E5E" w:rsidRDefault="001F7E5E" w:rsidP="001F7E5E">
      <w:p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 w:rsidRPr="001F7E5E">
        <w:rPr>
          <w:rFonts w:ascii="PT Serif" w:hAnsi="PT Serif"/>
          <w:sz w:val="23"/>
          <w:szCs w:val="23"/>
        </w:rPr>
        <w:t>Нужно подготовить 6-НДФЛ на новом бланке, заполнить СЗВ-СТАЖ с учетом последних уточнений, заплатить налог на имущество за прошлый год, а также подготовиться к изменениям, которые вступят в силу в марте.</w:t>
      </w:r>
    </w:p>
    <w:p w14:paraId="4A0C6ABD" w14:textId="77777777" w:rsidR="001F7E5E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FF0000"/>
          <w:sz w:val="23"/>
          <w:szCs w:val="23"/>
        </w:rPr>
      </w:pPr>
    </w:p>
    <w:p w14:paraId="675990AA" w14:textId="258DC006" w:rsidR="001F7E5E" w:rsidRPr="001F7E5E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FF0000"/>
          <w:sz w:val="23"/>
          <w:szCs w:val="23"/>
        </w:rPr>
      </w:pPr>
      <w:r w:rsidRPr="001F7E5E">
        <w:rPr>
          <w:rFonts w:ascii="PT Serif" w:hAnsi="PT Serif"/>
          <w:b w:val="0"/>
          <w:bCs w:val="0"/>
          <w:color w:val="FF0000"/>
          <w:sz w:val="23"/>
          <w:szCs w:val="23"/>
        </w:rPr>
        <w:t>Последние изменения</w:t>
      </w:r>
    </w:p>
    <w:p w14:paraId="720FBA39" w14:textId="3CBBE8FC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2 февраля</w:t>
      </w:r>
      <w:r>
        <w:rPr>
          <w:rFonts w:ascii="PT Serif" w:hAnsi="PT Serif"/>
          <w:color w:val="000000"/>
          <w:sz w:val="23"/>
          <w:szCs w:val="23"/>
        </w:rPr>
        <w:t>.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F7E5E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Появилось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разъяснение ФНС о переходе на новый кассовый формат 1.2.</w:t>
      </w:r>
    </w:p>
    <w:p w14:paraId="5E56D6CB" w14:textId="77777777" w:rsidR="001F7E5E" w:rsidRDefault="001F7E5E" w:rsidP="001F7E5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При замене фискального накопителя или регистрации новой кассы продавцы маркируемых товаров обязаны применять модели с поддержкой формата 1.2.</w:t>
      </w:r>
    </w:p>
    <w:p w14:paraId="447B0083" w14:textId="62119F3E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Ведомство привело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12 моделей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касс, которые к февралю должны были доработать под этот формат, но не успели. Компании и ИП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 1 апреля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могут продолжать использовать их при продаже маркированной продукции. Дальше все зависит от того, включат ли кассу с поддержкой формата 1.2 в реестр:</w:t>
      </w:r>
    </w:p>
    <w:p w14:paraId="3DCF8878" w14:textId="131AB133" w:rsidR="001F7E5E" w:rsidRDefault="001F7E5E" w:rsidP="001F7E5E">
      <w:pPr>
        <w:numPr>
          <w:ilvl w:val="0"/>
          <w:numId w:val="2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если нет, то после истечения срока действия накопителя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нужно будет приобрести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новый аппарат;</w:t>
      </w:r>
    </w:p>
    <w:p w14:paraId="5DB32621" w14:textId="5DB3285B" w:rsidR="001F7E5E" w:rsidRDefault="001F7E5E" w:rsidP="001F7E5E">
      <w:pPr>
        <w:numPr>
          <w:ilvl w:val="0"/>
          <w:numId w:val="27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если да, то пользователю в течение 3 месяцев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потребуется перевести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кассу на новый формат.</w:t>
      </w:r>
    </w:p>
    <w:p w14:paraId="3CCAA538" w14:textId="77777777" w:rsidR="001F7E5E" w:rsidRPr="00387EB6" w:rsidRDefault="001F7E5E" w:rsidP="001F7E5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  <w:u w:val="single"/>
        </w:rPr>
      </w:pPr>
      <w:r w:rsidRPr="00387EB6">
        <w:rPr>
          <w:rFonts w:ascii="PT Serif" w:hAnsi="PT Serif"/>
          <w:color w:val="000000"/>
          <w:sz w:val="23"/>
          <w:szCs w:val="23"/>
          <w:u w:val="single"/>
        </w:rPr>
        <w:t>ФНС также напомнила:</w:t>
      </w:r>
    </w:p>
    <w:p w14:paraId="45311808" w14:textId="13CAF649" w:rsidR="001F7E5E" w:rsidRDefault="001F7E5E" w:rsidP="001F7E5E">
      <w:pPr>
        <w:numPr>
          <w:ilvl w:val="0"/>
          <w:numId w:val="2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1 февраля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закончилась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отсрочка, которую давали для доработки программ управления кассой. Тем, кто пользовался ею, нужно перейти на новый формат;</w:t>
      </w:r>
    </w:p>
    <w:p w14:paraId="0773B7B6" w14:textId="2B479B7C" w:rsidR="001F7E5E" w:rsidRDefault="001F7E5E" w:rsidP="001F7E5E">
      <w:pPr>
        <w:numPr>
          <w:ilvl w:val="0"/>
          <w:numId w:val="2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если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касса</w:t>
        </w:r>
      </w:hyperlink>
      <w:r>
        <w:rPr>
          <w:rFonts w:ascii="PT Serif" w:hAnsi="PT Serif"/>
          <w:sz w:val="23"/>
          <w:szCs w:val="23"/>
        </w:rPr>
        <w:t> или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фискальный накопитель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не поддерживает формат 1.2, можно продолжать работать по-старому до перерегистрации кассы;</w:t>
      </w:r>
    </w:p>
    <w:p w14:paraId="7D5B7B8F" w14:textId="1E77919E" w:rsidR="001F7E5E" w:rsidRDefault="001F7E5E" w:rsidP="001F7E5E">
      <w:pPr>
        <w:numPr>
          <w:ilvl w:val="0"/>
          <w:numId w:val="28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если касса и накопитель поддерживают последнюю версию формата, но ККТ включили в реестр недавно, перейти на новый формат нужно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позднее 3 месяцев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с даты включения модели в реестр.</w:t>
      </w:r>
    </w:p>
    <w:p w14:paraId="0BF27BCB" w14:textId="77777777" w:rsidR="001F7E5E" w:rsidRP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color w:val="7030A0"/>
        </w:rPr>
      </w:pPr>
      <w:r>
        <w:t xml:space="preserve">Документ: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45"/>
      </w:tblGrid>
      <w:tr w:rsidR="001F7E5E" w:rsidRPr="001F7E5E" w14:paraId="21A3BD88" w14:textId="77777777" w:rsidTr="001F7E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3C561" w14:textId="77777777" w:rsidR="001F7E5E" w:rsidRPr="001F7E5E" w:rsidRDefault="001F7E5E">
            <w:pPr>
              <w:shd w:val="clear" w:color="auto" w:fill="auto"/>
              <w:jc w:val="left"/>
              <w:textAlignment w:val="auto"/>
              <w:rPr>
                <w:color w:val="7030A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801A5" w14:textId="47D99EA5" w:rsidR="001F7E5E" w:rsidRPr="001F7E5E" w:rsidRDefault="001F7E5E" w:rsidP="001F7E5E">
            <w:pPr>
              <w:pStyle w:val="attachmentsitem"/>
              <w:spacing w:before="0" w:beforeAutospacing="0" w:after="0" w:afterAutospacing="0"/>
              <w:textAlignment w:val="baseline"/>
              <w:rPr>
                <w:color w:val="7030A0"/>
                <w:sz w:val="23"/>
                <w:szCs w:val="23"/>
              </w:rPr>
            </w:pPr>
            <w:hyperlink r:id="rId13" w:history="1">
              <w:r w:rsidRPr="001F7E5E">
                <w:rPr>
                  <w:rStyle w:val="a3"/>
                  <w:color w:val="7030A0"/>
                  <w:sz w:val="23"/>
                  <w:szCs w:val="23"/>
                  <w:bdr w:val="none" w:sz="0" w:space="0" w:color="auto" w:frame="1"/>
                </w:rPr>
                <w:t>Письмо ФНС России от 31.01.2022 N АБ-4-20/1054@</w:t>
              </w:r>
            </w:hyperlink>
          </w:p>
        </w:tc>
      </w:tr>
    </w:tbl>
    <w:p w14:paraId="60680F32" w14:textId="48F1D90C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2 февраля</w:t>
      </w:r>
      <w:r>
        <w:rPr>
          <w:rFonts w:ascii="PT Serif" w:hAnsi="PT Serif"/>
          <w:color w:val="000000"/>
          <w:sz w:val="23"/>
          <w:szCs w:val="23"/>
        </w:rPr>
        <w:t>. ФНС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BC49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рассказала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о новых возможностях сервиса "Прозрачный бизнес".</w:t>
      </w:r>
    </w:p>
    <w:p w14:paraId="34506979" w14:textId="77777777" w:rsidR="00BC4960" w:rsidRDefault="00BC4960" w:rsidP="00BC4960">
      <w:pPr>
        <w:pStyle w:val="a6"/>
        <w:shd w:val="clear" w:color="auto" w:fill="FFFFFF"/>
        <w:spacing w:before="0" w:after="0"/>
        <w:textAlignment w:val="baseline"/>
        <w:rPr>
          <w:rFonts w:ascii="PT Serif" w:hAnsi="PT Serif"/>
          <w:color w:val="0E0E0E"/>
          <w:sz w:val="26"/>
          <w:szCs w:val="26"/>
        </w:rPr>
      </w:pPr>
      <w:r>
        <w:rPr>
          <w:rFonts w:ascii="PT Serif" w:hAnsi="PT Serif"/>
          <w:color w:val="0E0E0E"/>
          <w:sz w:val="26"/>
          <w:szCs w:val="26"/>
        </w:rPr>
        <w:t>ФНС сообщила, что теперь можно ввести адрес юрлица и узнать, какие еще организации зарегистрировали по этому адресу. Кроме того, если указать ИНН или Ф.И.О. физлица,</w:t>
      </w:r>
      <w:r>
        <w:rPr>
          <w:rStyle w:val="apple-converted-space"/>
          <w:rFonts w:ascii="PT Serif" w:hAnsi="PT Serif"/>
          <w:color w:val="0E0E0E"/>
          <w:sz w:val="26"/>
          <w:szCs w:val="26"/>
        </w:rPr>
        <w:t> </w:t>
      </w:r>
      <w:hyperlink r:id="rId14" w:history="1">
        <w:r>
          <w:rPr>
            <w:rStyle w:val="a3"/>
            <w:rFonts w:ascii="PT Serif" w:hAnsi="PT Serif"/>
            <w:color w:val="85005E"/>
            <w:sz w:val="26"/>
            <w:szCs w:val="26"/>
            <w:bdr w:val="none" w:sz="0" w:space="0" w:color="auto" w:frame="1"/>
          </w:rPr>
          <w:t>ресурс</w:t>
        </w:r>
      </w:hyperlink>
      <w:r>
        <w:rPr>
          <w:rStyle w:val="apple-converted-space"/>
          <w:rFonts w:ascii="PT Serif" w:hAnsi="PT Serif"/>
          <w:color w:val="0E0E0E"/>
          <w:sz w:val="26"/>
          <w:szCs w:val="26"/>
        </w:rPr>
        <w:t> </w:t>
      </w:r>
      <w:r>
        <w:rPr>
          <w:rFonts w:ascii="PT Serif" w:hAnsi="PT Serif"/>
          <w:color w:val="0E0E0E"/>
          <w:sz w:val="26"/>
          <w:szCs w:val="26"/>
        </w:rPr>
        <w:t>выдаст данные обо всех организациях, где оно учредитель, участник или руководитель.</w:t>
      </w:r>
    </w:p>
    <w:p w14:paraId="0BEB1988" w14:textId="77777777" w:rsidR="00BC4960" w:rsidRDefault="00BC4960" w:rsidP="00BC4960">
      <w:pPr>
        <w:pStyle w:val="a6"/>
        <w:shd w:val="clear" w:color="auto" w:fill="FFFFFF"/>
        <w:textAlignment w:val="baseline"/>
        <w:rPr>
          <w:rFonts w:ascii="PT Serif" w:hAnsi="PT Serif"/>
          <w:color w:val="0E0E0E"/>
          <w:sz w:val="26"/>
          <w:szCs w:val="26"/>
        </w:rPr>
      </w:pPr>
      <w:r>
        <w:rPr>
          <w:rFonts w:ascii="PT Serif" w:hAnsi="PT Serif"/>
          <w:color w:val="0E0E0E"/>
          <w:sz w:val="26"/>
          <w:szCs w:val="26"/>
        </w:rPr>
        <w:t xml:space="preserve">Напомним, через сервис можно проверить контрагента: получить сведения из реестров (ЕГРЮЛ, дисквалифицированных лиц), узнать о </w:t>
      </w:r>
      <w:proofErr w:type="spellStart"/>
      <w:r>
        <w:rPr>
          <w:rFonts w:ascii="PT Serif" w:hAnsi="PT Serif"/>
          <w:color w:val="0E0E0E"/>
          <w:sz w:val="26"/>
          <w:szCs w:val="26"/>
        </w:rPr>
        <w:t>спецрежимах</w:t>
      </w:r>
      <w:proofErr w:type="spellEnd"/>
      <w:r>
        <w:rPr>
          <w:rFonts w:ascii="PT Serif" w:hAnsi="PT Serif"/>
          <w:color w:val="0E0E0E"/>
          <w:sz w:val="26"/>
          <w:szCs w:val="26"/>
        </w:rPr>
        <w:t xml:space="preserve"> и т.д.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693"/>
      </w:tblGrid>
      <w:tr w:rsidR="00BC4960" w:rsidRPr="00BC4960" w14:paraId="1B9DDBEB" w14:textId="77777777" w:rsidTr="00BC4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3F3053" w14:textId="77777777" w:rsidR="00BC4960" w:rsidRDefault="00BC4960" w:rsidP="00BC4960">
            <w:pPr>
              <w:pStyle w:val="a6"/>
              <w:shd w:val="clear" w:color="auto" w:fill="FFFFFF"/>
              <w:spacing w:before="0" w:after="0" w:line="286" w:lineRule="atLeast"/>
              <w:textAlignment w:val="baseline"/>
              <w:rPr>
                <w:sz w:val="26"/>
                <w:szCs w:val="26"/>
              </w:rPr>
            </w:pPr>
            <w:r w:rsidRPr="00BC4960">
              <w:lastRenderedPageBreak/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DC9A6" w14:textId="5DF56911" w:rsidR="00BC4960" w:rsidRPr="00BC4960" w:rsidRDefault="00BC4960" w:rsidP="00BC4960">
            <w:pPr>
              <w:pStyle w:val="attachmentsitem"/>
              <w:spacing w:before="0" w:beforeAutospacing="0" w:after="0" w:afterAutospacing="0"/>
              <w:textAlignment w:val="baseline"/>
              <w:rPr>
                <w:rStyle w:val="a3"/>
                <w:color w:val="7030A0"/>
                <w:sz w:val="23"/>
                <w:szCs w:val="23"/>
                <w:bdr w:val="none" w:sz="0" w:space="0" w:color="auto" w:frame="1"/>
              </w:rPr>
            </w:pPr>
            <w:r w:rsidRPr="00BC4960">
              <w:rPr>
                <w:rStyle w:val="a3"/>
                <w:color w:val="7030A0"/>
                <w:sz w:val="23"/>
                <w:szCs w:val="23"/>
                <w:bdr w:val="none" w:sz="0" w:space="0" w:color="auto" w:frame="1"/>
              </w:rPr>
              <w:t xml:space="preserve">  </w:t>
            </w:r>
            <w:hyperlink r:id="rId15" w:history="1">
              <w:r w:rsidRPr="00BC4960">
                <w:rPr>
                  <w:rStyle w:val="a3"/>
                  <w:color w:val="7030A0"/>
                  <w:sz w:val="23"/>
                  <w:szCs w:val="23"/>
                  <w:bdr w:val="none" w:sz="0" w:space="0" w:color="auto" w:frame="1"/>
                </w:rPr>
                <w:t>Информация ФНС России</w:t>
              </w:r>
            </w:hyperlink>
          </w:p>
        </w:tc>
      </w:tr>
    </w:tbl>
    <w:p w14:paraId="05093E1A" w14:textId="77777777" w:rsidR="00BC4960" w:rsidRDefault="00BC4960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000000"/>
          <w:sz w:val="23"/>
          <w:szCs w:val="23"/>
        </w:rPr>
      </w:pPr>
      <w:bookmarkStart w:id="0" w:name="anchor_2"/>
      <w:bookmarkEnd w:id="0"/>
    </w:p>
    <w:p w14:paraId="131BDFFC" w14:textId="2ACC91FC" w:rsidR="001F7E5E" w:rsidRPr="000D151C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r w:rsidRPr="000D151C">
        <w:rPr>
          <w:rStyle w:val="a7"/>
          <w:color w:val="0070C0"/>
          <w:bdr w:val="none" w:sz="0" w:space="0" w:color="auto" w:frame="1"/>
        </w:rPr>
        <w:t>6-НДФЛ</w:t>
      </w:r>
    </w:p>
    <w:p w14:paraId="2F6C92D3" w14:textId="77777777" w:rsidR="001F7E5E" w:rsidRDefault="001F7E5E" w:rsidP="001F7E5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Основных новшеств в годовой отчетности два:</w:t>
      </w:r>
    </w:p>
    <w:p w14:paraId="73497F0B" w14:textId="6186CD74" w:rsidR="001F7E5E" w:rsidRDefault="001F7E5E" w:rsidP="001F7E5E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форму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уточнили. К примеру, добавили строки для сведений о высококвалифицированных специалистах;</w:t>
      </w:r>
    </w:p>
    <w:p w14:paraId="659BB364" w14:textId="31987BA1" w:rsidR="001F7E5E" w:rsidRDefault="001F7E5E" w:rsidP="001F7E5E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в расчет нужно включить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сведения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о доходах физлица (прежняя справка 2-НДФЛ) за 2021 год. Проверьте корректность кодов доходов и вычетов. Так, суточные свыше 700 руб. в день в командировке по России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надо относить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на код дохода 2015, а не 4800.</w:t>
      </w:r>
    </w:p>
    <w:p w14:paraId="213E00D6" w14:textId="649D92C4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Рекомендации по заполнению формы см. в готовых решениях для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коммерческих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бюджетных организаций</w:t>
        </w:r>
      </w:hyperlink>
      <w:r>
        <w:rPr>
          <w:rFonts w:ascii="PT Serif" w:hAnsi="PT Serif"/>
          <w:color w:val="000000"/>
          <w:sz w:val="23"/>
          <w:szCs w:val="23"/>
        </w:rPr>
        <w:t>.</w:t>
      </w:r>
    </w:p>
    <w:p w14:paraId="62B2CEBB" w14:textId="77777777" w:rsidR="001F7E5E" w:rsidRPr="000D151C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b/>
          <w:bCs/>
          <w:color w:val="0070C0"/>
          <w:bdr w:val="none" w:sz="0" w:space="0" w:color="auto" w:frame="1"/>
        </w:rPr>
      </w:pPr>
      <w:bookmarkStart w:id="1" w:name="anchor_1"/>
      <w:bookmarkEnd w:id="1"/>
      <w:r w:rsidRPr="000D151C">
        <w:rPr>
          <w:rStyle w:val="a7"/>
          <w:b/>
          <w:bCs/>
          <w:color w:val="0070C0"/>
          <w:bdr w:val="none" w:sz="0" w:space="0" w:color="auto" w:frame="1"/>
        </w:rPr>
        <w:t>Налог на имущество</w:t>
      </w:r>
    </w:p>
    <w:p w14:paraId="00B1D698" w14:textId="00B2690D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этого года по всей стране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ввели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единые сроки уплаты налога. Перечислить деньги нужно не позднее 1 марта.</w:t>
      </w:r>
    </w:p>
    <w:p w14:paraId="6E6BBCBE" w14:textId="77777777" w:rsidR="001F7E5E" w:rsidRPr="00C9038D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bookmarkStart w:id="2" w:name="anchor_6"/>
      <w:bookmarkStart w:id="3" w:name="anchor_4"/>
      <w:bookmarkEnd w:id="2"/>
      <w:bookmarkEnd w:id="3"/>
      <w:r w:rsidRPr="00C9038D">
        <w:rPr>
          <w:rStyle w:val="a7"/>
          <w:color w:val="0070C0"/>
          <w:bdr w:val="none" w:sz="0" w:space="0" w:color="auto" w:frame="1"/>
        </w:rPr>
        <w:t>Онлайн-кассы</w:t>
      </w:r>
    </w:p>
    <w:p w14:paraId="3634A72E" w14:textId="04ADD842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Послабление в ситуации, когда кассу нельзя перевести на формат фискальных данных 1.2 из-за неготовности софта,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больше не действует</w:t>
        </w:r>
      </w:hyperlink>
      <w:r>
        <w:rPr>
          <w:rFonts w:ascii="PT Serif" w:hAnsi="PT Serif"/>
          <w:color w:val="000000"/>
          <w:sz w:val="23"/>
          <w:szCs w:val="23"/>
        </w:rPr>
        <w:t>. Продавцы маркированных товаров, которые пользовались этой отсрочкой, должны применять новый формат.</w:t>
      </w:r>
    </w:p>
    <w:p w14:paraId="1CFE67C1" w14:textId="3411254C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C9038D">
        <w:rPr>
          <w:rStyle w:val="a7"/>
          <w:rFonts w:ascii="PT Serif" w:hAnsi="PT Serif"/>
          <w:color w:val="000000"/>
          <w:sz w:val="23"/>
          <w:szCs w:val="23"/>
          <w:u w:val="single"/>
          <w:bdr w:val="none" w:sz="0" w:space="0" w:color="auto" w:frame="1"/>
        </w:rPr>
        <w:t>Обратите внимание</w:t>
      </w:r>
      <w:r w:rsidRPr="00C9038D">
        <w:rPr>
          <w:rFonts w:ascii="PT Serif" w:hAnsi="PT Serif"/>
          <w:color w:val="000000"/>
          <w:sz w:val="23"/>
          <w:szCs w:val="23"/>
          <w:u w:val="single"/>
        </w:rPr>
        <w:t>:</w:t>
      </w:r>
      <w:r>
        <w:rPr>
          <w:rFonts w:ascii="PT Serif" w:hAnsi="PT Serif"/>
          <w:color w:val="000000"/>
          <w:sz w:val="23"/>
          <w:szCs w:val="23"/>
        </w:rPr>
        <w:t xml:space="preserve"> есть 12 моделей касс, которые к февралю должны были доработать под новый формат, но не успели. Компании и ИП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 1 апреля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могут продолжать использовать их при продаже маркированной продукции.</w:t>
      </w:r>
    </w:p>
    <w:p w14:paraId="66DF1AFF" w14:textId="77777777" w:rsidR="001F7E5E" w:rsidRPr="0031727C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b/>
          <w:bCs/>
          <w:color w:val="0070C0"/>
          <w:bdr w:val="none" w:sz="0" w:space="0" w:color="auto" w:frame="1"/>
        </w:rPr>
      </w:pPr>
      <w:bookmarkStart w:id="4" w:name="anchor_3"/>
      <w:bookmarkEnd w:id="4"/>
      <w:r w:rsidRPr="0031727C">
        <w:rPr>
          <w:rStyle w:val="a7"/>
          <w:b/>
          <w:bCs/>
          <w:color w:val="0070C0"/>
          <w:bdr w:val="none" w:sz="0" w:space="0" w:color="auto" w:frame="1"/>
        </w:rPr>
        <w:t>Маркировка</w:t>
      </w:r>
    </w:p>
    <w:p w14:paraId="181B9835" w14:textId="77777777" w:rsidR="001F7E5E" w:rsidRDefault="001F7E5E" w:rsidP="001F7E5E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Нужно подготовиться к изменениям, которые вступят в силу в марте:</w:t>
      </w:r>
    </w:p>
    <w:p w14:paraId="75AAEE7C" w14:textId="1F1E095C" w:rsidR="001F7E5E" w:rsidRDefault="001F7E5E" w:rsidP="001F7E5E">
      <w:pPr>
        <w:numPr>
          <w:ilvl w:val="0"/>
          <w:numId w:val="25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2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уточнят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правила маркировки наборов, в которые входят фототовары, товары легкой промышленности или парфюмерная продукция;</w:t>
      </w:r>
    </w:p>
    <w:p w14:paraId="398C04F5" w14:textId="0742825B" w:rsidR="001F7E5E" w:rsidRDefault="001F7E5E" w:rsidP="001F7E5E">
      <w:pPr>
        <w:numPr>
          <w:ilvl w:val="0"/>
          <w:numId w:val="25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при ввозе обуви из стран ЕАЭС в систему маркировки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2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надо передавать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больше сведений;</w:t>
      </w:r>
    </w:p>
    <w:p w14:paraId="4BA6F2DC" w14:textId="708D517D" w:rsidR="001F7E5E" w:rsidRDefault="001F7E5E" w:rsidP="001F7E5E">
      <w:pPr>
        <w:numPr>
          <w:ilvl w:val="0"/>
          <w:numId w:val="25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для упакованной питьевой воды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2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вводят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обязательную маркировку;</w:t>
      </w:r>
    </w:p>
    <w:p w14:paraId="5EBFC32D" w14:textId="76A9C6AF" w:rsidR="001F7E5E" w:rsidRDefault="001F7E5E" w:rsidP="001F7E5E">
      <w:pPr>
        <w:numPr>
          <w:ilvl w:val="0"/>
          <w:numId w:val="25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при регистрации молочной продукции в национальном каталоге, а также при составлении отчета о нанесении средства идентификации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2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нужно указывать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дополнительные сведения.</w:t>
      </w:r>
    </w:p>
    <w:p w14:paraId="7DAF8CB4" w14:textId="2583D4D6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 w:rsidRPr="0031727C">
        <w:rPr>
          <w:rStyle w:val="a7"/>
          <w:rFonts w:ascii="PT Serif" w:hAnsi="PT Serif"/>
          <w:color w:val="000000"/>
          <w:sz w:val="23"/>
          <w:szCs w:val="23"/>
          <w:u w:val="single"/>
          <w:bdr w:val="none" w:sz="0" w:space="0" w:color="auto" w:frame="1"/>
        </w:rPr>
        <w:t>Обратите внимание</w:t>
      </w:r>
      <w:r w:rsidRPr="0031727C">
        <w:rPr>
          <w:rFonts w:ascii="PT Serif" w:hAnsi="PT Serif"/>
          <w:color w:val="000000"/>
          <w:sz w:val="23"/>
          <w:szCs w:val="23"/>
          <w:u w:val="single"/>
        </w:rPr>
        <w:t>:</w:t>
      </w:r>
      <w:r>
        <w:rPr>
          <w:rFonts w:ascii="PT Serif" w:hAnsi="PT Serif"/>
          <w:color w:val="000000"/>
          <w:sz w:val="23"/>
          <w:szCs w:val="23"/>
        </w:rPr>
        <w:t xml:space="preserve"> с 8 февраля существенно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увеличивают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штрафы за производство и оборот сигарет без маркировки.</w:t>
      </w:r>
    </w:p>
    <w:p w14:paraId="52B5E327" w14:textId="77777777" w:rsidR="001F7E5E" w:rsidRPr="00E27F04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bookmarkStart w:id="5" w:name="anchor_8"/>
      <w:bookmarkEnd w:id="5"/>
      <w:r w:rsidRPr="00E27F04">
        <w:rPr>
          <w:rStyle w:val="a7"/>
          <w:color w:val="0070C0"/>
          <w:bdr w:val="none" w:sz="0" w:space="0" w:color="auto" w:frame="1"/>
        </w:rPr>
        <w:lastRenderedPageBreak/>
        <w:t>Перевозка</w:t>
      </w:r>
    </w:p>
    <w:p w14:paraId="26D8427C" w14:textId="565E4E54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7"/>
          <w:rFonts w:ascii="PT Serif" w:hAnsi="PT Serif"/>
          <w:color w:val="000000"/>
          <w:sz w:val="23"/>
          <w:szCs w:val="23"/>
          <w:bdr w:val="none" w:sz="0" w:space="0" w:color="auto" w:frame="1"/>
        </w:rPr>
        <w:t>Транспортная накладная.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С 1 марта придется перейти на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новую форму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транспортной накладной. Если документ используют как бумажную первичку, то его нужно составлять в 4 экземплярах.</w:t>
      </w:r>
    </w:p>
    <w:p w14:paraId="517B576D" w14:textId="47F1CE1B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Рекомендации по заполнению новой накладной см. в готовых решениях для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коммерческих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бюджетных организаций</w:t>
        </w:r>
      </w:hyperlink>
      <w:r>
        <w:rPr>
          <w:rFonts w:ascii="PT Serif" w:hAnsi="PT Serif"/>
          <w:color w:val="000000"/>
          <w:sz w:val="23"/>
          <w:szCs w:val="23"/>
        </w:rPr>
        <w:t>.</w:t>
      </w:r>
    </w:p>
    <w:p w14:paraId="3E701D95" w14:textId="77777777" w:rsidR="001F7E5E" w:rsidRPr="00E27F04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b/>
          <w:bCs/>
          <w:color w:val="0070C0"/>
          <w:bdr w:val="none" w:sz="0" w:space="0" w:color="auto" w:frame="1"/>
        </w:rPr>
      </w:pPr>
      <w:bookmarkStart w:id="6" w:name="anchor_7"/>
      <w:bookmarkEnd w:id="6"/>
      <w:r w:rsidRPr="00E27F04">
        <w:rPr>
          <w:rStyle w:val="a7"/>
          <w:b/>
          <w:bCs/>
          <w:color w:val="0070C0"/>
          <w:bdr w:val="none" w:sz="0" w:space="0" w:color="auto" w:frame="1"/>
        </w:rPr>
        <w:t>Пособия</w:t>
      </w:r>
    </w:p>
    <w:p w14:paraId="6E2BA0C9" w14:textId="3BA7E815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1 февраля пособие на погребение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проиндексировали</w:t>
        </w:r>
      </w:hyperlink>
      <w:r>
        <w:rPr>
          <w:rFonts w:ascii="PT Serif" w:hAnsi="PT Serif"/>
          <w:color w:val="000000"/>
          <w:sz w:val="23"/>
          <w:szCs w:val="23"/>
        </w:rPr>
        <w:t> на 8,4%. Теперь нужно платить 6 964,68 руб.</w:t>
      </w:r>
    </w:p>
    <w:p w14:paraId="1AC4400C" w14:textId="77777777" w:rsidR="001F7E5E" w:rsidRPr="00E05172" w:rsidRDefault="001F7E5E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0070C0"/>
          <w:bdr w:val="none" w:sz="0" w:space="0" w:color="auto" w:frame="1"/>
        </w:rPr>
      </w:pPr>
      <w:bookmarkStart w:id="7" w:name="anchor_9"/>
      <w:bookmarkEnd w:id="7"/>
      <w:r w:rsidRPr="00E05172">
        <w:rPr>
          <w:rStyle w:val="a7"/>
          <w:color w:val="0070C0"/>
          <w:bdr w:val="none" w:sz="0" w:space="0" w:color="auto" w:frame="1"/>
        </w:rPr>
        <w:t>Электронная подпись коммерческих организаций</w:t>
      </w:r>
    </w:p>
    <w:p w14:paraId="75D9DE1A" w14:textId="51CE3682" w:rsidR="001F7E5E" w:rsidRDefault="001F7E5E" w:rsidP="001F7E5E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1 марта при выдаче электронной подписи юрлицу владельцем сертификата ключа проверки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3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может быть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тот, кто действует по доверенности. Поэтому коммерческие удостоверяющие центры могут выдавать электронные подписи на доверенных лиц лишь до этой даты. Подписи, выданные в текущем или прошлом году, действуют максимум до конца текущего года. При их использовании машиночитаемая доверенность не нужна.</w:t>
      </w:r>
    </w:p>
    <w:sectPr w:rsidR="001F7E5E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7492B"/>
    <w:multiLevelType w:val="multilevel"/>
    <w:tmpl w:val="7E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A0AB1"/>
    <w:multiLevelType w:val="multilevel"/>
    <w:tmpl w:val="95E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E2A13"/>
    <w:multiLevelType w:val="multilevel"/>
    <w:tmpl w:val="928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32199"/>
    <w:multiLevelType w:val="multilevel"/>
    <w:tmpl w:val="36B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E254F"/>
    <w:multiLevelType w:val="multilevel"/>
    <w:tmpl w:val="0CC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3"/>
  </w:num>
  <w:num w:numId="9">
    <w:abstractNumId w:val="20"/>
  </w:num>
  <w:num w:numId="10">
    <w:abstractNumId w:val="25"/>
  </w:num>
  <w:num w:numId="11">
    <w:abstractNumId w:val="23"/>
  </w:num>
  <w:num w:numId="12">
    <w:abstractNumId w:val="11"/>
  </w:num>
  <w:num w:numId="13">
    <w:abstractNumId w:val="16"/>
  </w:num>
  <w:num w:numId="14">
    <w:abstractNumId w:val="18"/>
  </w:num>
  <w:num w:numId="15">
    <w:abstractNumId w:val="27"/>
  </w:num>
  <w:num w:numId="16">
    <w:abstractNumId w:val="19"/>
  </w:num>
  <w:num w:numId="17">
    <w:abstractNumId w:val="22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21"/>
  </w:num>
  <w:num w:numId="23">
    <w:abstractNumId w:val="14"/>
  </w:num>
  <w:num w:numId="24">
    <w:abstractNumId w:val="15"/>
  </w:num>
  <w:num w:numId="25">
    <w:abstractNumId w:val="7"/>
  </w:num>
  <w:num w:numId="26">
    <w:abstractNumId w:val="26"/>
  </w:num>
  <w:num w:numId="27">
    <w:abstractNumId w:val="17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0D151C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1F7E5E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1727C"/>
    <w:rsid w:val="00336D46"/>
    <w:rsid w:val="00357560"/>
    <w:rsid w:val="00387EB6"/>
    <w:rsid w:val="003B2738"/>
    <w:rsid w:val="003B6377"/>
    <w:rsid w:val="003D716A"/>
    <w:rsid w:val="003F5829"/>
    <w:rsid w:val="00404F48"/>
    <w:rsid w:val="00406049"/>
    <w:rsid w:val="00417125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C4960"/>
    <w:rsid w:val="00BD5BEC"/>
    <w:rsid w:val="00C345D0"/>
    <w:rsid w:val="00C36422"/>
    <w:rsid w:val="00C9038D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05172"/>
    <w:rsid w:val="00E121CE"/>
    <w:rsid w:val="00E27F04"/>
    <w:rsid w:val="00E47CE9"/>
    <w:rsid w:val="00E941BC"/>
    <w:rsid w:val="00EA6DDB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8320&amp;dst=100005" TargetMode="External"/><Relationship Id="rId18" Type="http://schemas.openxmlformats.org/officeDocument/2006/relationships/hyperlink" Target="https://login.consultant.ru/link/?req=doc&amp;base=LAW&amp;n=399513&amp;dst=100027" TargetMode="External"/><Relationship Id="rId26" Type="http://schemas.openxmlformats.org/officeDocument/2006/relationships/hyperlink" Target="https://login.consultant.ru/link/?req=doc&amp;base=LAW&amp;n=398102&amp;dst=1001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8102&amp;dst=10006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8320&amp;dst=100019" TargetMode="External"/><Relationship Id="rId12" Type="http://schemas.openxmlformats.org/officeDocument/2006/relationships/hyperlink" Target="https://login.consultant.ru/link/?req=doc&amp;base=LAW&amp;n=408320&amp;dst=100011" TargetMode="External"/><Relationship Id="rId17" Type="http://schemas.openxmlformats.org/officeDocument/2006/relationships/hyperlink" Target="https://login.consultant.ru/link/?req=doc&amp;base=LAW&amp;n=399535&amp;dst=101253" TargetMode="External"/><Relationship Id="rId25" Type="http://schemas.openxmlformats.org/officeDocument/2006/relationships/hyperlink" Target="https://login.consultant.ru/link/?req=doc&amp;base=LAW&amp;n=398102&amp;dst=100122" TargetMode="External"/><Relationship Id="rId33" Type="http://schemas.openxmlformats.org/officeDocument/2006/relationships/hyperlink" Target="https://login.consultant.ru/link/?req=doc&amp;base=LAW&amp;n=406229&amp;dst=3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9496&amp;dst=100022" TargetMode="External"/><Relationship Id="rId20" Type="http://schemas.openxmlformats.org/officeDocument/2006/relationships/hyperlink" Target="https://login.consultant.ru/link/?req=doc&amp;base=PKBO&amp;n=46433&amp;dst=100001" TargetMode="External"/><Relationship Id="rId29" Type="http://schemas.openxmlformats.org/officeDocument/2006/relationships/hyperlink" Target="https://login.consultant.ru/link/?req=doc&amp;base=LAW&amp;n=402657&amp;dst=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8320&amp;dst=100018" TargetMode="External"/><Relationship Id="rId11" Type="http://schemas.openxmlformats.org/officeDocument/2006/relationships/hyperlink" Target="https://login.consultant.ru/link/?req=doc&amp;base=LAW&amp;n=408320&amp;dst=100009" TargetMode="External"/><Relationship Id="rId24" Type="http://schemas.openxmlformats.org/officeDocument/2006/relationships/hyperlink" Target="https://login.consultant.ru/link/?req=doc&amp;base=LAW&amp;n=398102&amp;dst=100196" TargetMode="External"/><Relationship Id="rId32" Type="http://schemas.openxmlformats.org/officeDocument/2006/relationships/hyperlink" Target="https://login.consultant.ru/link/?req=doc&amp;base=LAW&amp;n=408063&amp;dst=100005" TargetMode="External"/><Relationship Id="rId5" Type="http://schemas.openxmlformats.org/officeDocument/2006/relationships/hyperlink" Target="https://login.consultant.ru/link/?req=doc&amp;base=LAW&amp;n=408320&amp;dst=100014" TargetMode="External"/><Relationship Id="rId15" Type="http://schemas.openxmlformats.org/officeDocument/2006/relationships/hyperlink" Target="https://storage.consultant.ru/ondb/attachments/202202/02/Prozracnyj_biznes_nyV.pdf" TargetMode="External"/><Relationship Id="rId23" Type="http://schemas.openxmlformats.org/officeDocument/2006/relationships/hyperlink" Target="https://login.consultant.ru/link/?req=doc&amp;base=LAW&amp;n=408320&amp;dst=100014" TargetMode="External"/><Relationship Id="rId28" Type="http://schemas.openxmlformats.org/officeDocument/2006/relationships/hyperlink" Target="https://login.consultant.ru/link/?req=doc&amp;base=LAW&amp;n=408037&amp;dst=100017" TargetMode="External"/><Relationship Id="rId10" Type="http://schemas.openxmlformats.org/officeDocument/2006/relationships/hyperlink" Target="https://login.consultant.ru/link/?req=doc&amp;base=LAW&amp;n=408320&amp;dst=100010" TargetMode="External"/><Relationship Id="rId19" Type="http://schemas.openxmlformats.org/officeDocument/2006/relationships/hyperlink" Target="https://login.consultant.ru/link/?req=doc&amp;base=PBI&amp;n=275788&amp;dst=100001" TargetMode="External"/><Relationship Id="rId31" Type="http://schemas.openxmlformats.org/officeDocument/2006/relationships/hyperlink" Target="https://login.consultant.ru/link/?req=doc&amp;base=PKBO&amp;n=52830&amp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8320&amp;dst=100007" TargetMode="External"/><Relationship Id="rId14" Type="http://schemas.openxmlformats.org/officeDocument/2006/relationships/hyperlink" Target="https://pb.nalog.ru/" TargetMode="External"/><Relationship Id="rId22" Type="http://schemas.openxmlformats.org/officeDocument/2006/relationships/hyperlink" Target="https://login.consultant.ru/link/?req=doc&amp;base=LAW&amp;n=398102&amp;dst=100131" TargetMode="External"/><Relationship Id="rId27" Type="http://schemas.openxmlformats.org/officeDocument/2006/relationships/hyperlink" Target="https://login.consultant.ru/link/?req=doc&amp;base=LAW&amp;n=398102&amp;dst=100241" TargetMode="External"/><Relationship Id="rId30" Type="http://schemas.openxmlformats.org/officeDocument/2006/relationships/hyperlink" Target="https://login.consultant.ru/link/?req=doc&amp;base=PBI&amp;n=293860&amp;dst=10000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08320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3</cp:revision>
  <dcterms:created xsi:type="dcterms:W3CDTF">2022-02-04T12:40:00Z</dcterms:created>
  <dcterms:modified xsi:type="dcterms:W3CDTF">2022-02-04T13:19:00Z</dcterms:modified>
</cp:coreProperties>
</file>