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FCDA" w14:textId="0487D3F2" w:rsidR="00C10670" w:rsidRDefault="005E3B2E" w:rsidP="005E3B2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 w:rsidRPr="005E3B2E">
        <w:rPr>
          <w:iCs/>
          <w:sz w:val="32"/>
          <w:szCs w:val="32"/>
          <w:lang w:eastAsia="en-US"/>
        </w:rPr>
        <w:t>Топ-4 "поворотных" дел арбитражных судов округов за декабрь 2021 года</w:t>
      </w:r>
      <w:r>
        <w:rPr>
          <w:rFonts w:ascii="PT Serif" w:hAnsi="PT Serif"/>
          <w:color w:val="000000"/>
          <w:sz w:val="23"/>
          <w:szCs w:val="23"/>
        </w:rPr>
        <w:br/>
      </w:r>
    </w:p>
    <w:p w14:paraId="4D7319CA" w14:textId="77777777" w:rsidR="005E3B2E" w:rsidRPr="005E3B2E" w:rsidRDefault="005E3B2E" w:rsidP="005E3B2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b w:val="0"/>
          <w:bCs w:val="0"/>
          <w:color w:val="0070C0"/>
          <w:sz w:val="23"/>
          <w:szCs w:val="23"/>
        </w:rPr>
      </w:pPr>
      <w:r w:rsidRPr="005E3B2E">
        <w:rPr>
          <w:rStyle w:val="a7"/>
          <w:rFonts w:ascii="PT Serif" w:hAnsi="PT Serif"/>
          <w:b/>
          <w:bCs/>
          <w:color w:val="0070C0"/>
          <w:sz w:val="23"/>
          <w:szCs w:val="23"/>
          <w:bdr w:val="none" w:sz="0" w:space="0" w:color="auto" w:frame="1"/>
        </w:rPr>
        <w:t>Переход из предварительного заседания в основное</w:t>
      </w:r>
    </w:p>
    <w:p w14:paraId="53B12E00" w14:textId="77777777" w:rsidR="005E3B2E" w:rsidRDefault="005E3B2E" w:rsidP="005E3B2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 предварительном заседании ответчик возражал против перехода в основное. Он отмечал, что исковое заявление направлено ему по неточному адресу (в частности, не указаны литера дома и номер помещения). О заседании ответчик узнал из интернета, при этом смог ознакомиться с материалами лишь в ограниченном режиме.</w:t>
      </w:r>
    </w:p>
    <w:p w14:paraId="4F3EAB1D" w14:textId="77777777" w:rsidR="005E3B2E" w:rsidRDefault="005E3B2E" w:rsidP="005E3B2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Суд отклонил ходатайство, перешел в основное заседание сразу после предварительного и разрешил спор.</w:t>
      </w:r>
    </w:p>
    <w:p w14:paraId="32374DB4" w14:textId="77777777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Мнение судов:</w:t>
      </w:r>
    </w:p>
    <w:p w14:paraId="0EACC7E3" w14:textId="77777777" w:rsidR="005E3B2E" w:rsidRDefault="005E3B2E" w:rsidP="005E3B2E">
      <w:pPr>
        <w:numPr>
          <w:ilvl w:val="0"/>
          <w:numId w:val="25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Отложение судебного разбирательства — право, а не обязанность суда.</w:t>
      </w:r>
    </w:p>
    <w:p w14:paraId="157D0C9C" w14:textId="77777777" w:rsidR="005E3B2E" w:rsidRDefault="005E3B2E" w:rsidP="005E3B2E">
      <w:pPr>
        <w:numPr>
          <w:ilvl w:val="0"/>
          <w:numId w:val="25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Ответчик знал о судебном процессе, иначе не явился бы на заседание. У него было достаточно времени, чтобы ознакомиться с материалами дела.</w:t>
      </w:r>
    </w:p>
    <w:p w14:paraId="79597889" w14:textId="77777777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Позиция кассации:</w:t>
      </w:r>
    </w:p>
    <w:p w14:paraId="787224FD" w14:textId="77777777" w:rsidR="005E3B2E" w:rsidRDefault="005E3B2E" w:rsidP="005E3B2E">
      <w:pPr>
        <w:numPr>
          <w:ilvl w:val="0"/>
          <w:numId w:val="26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Ответчика лишили возможности заявить свои возражения и представить доказательства.</w:t>
      </w:r>
    </w:p>
    <w:p w14:paraId="4E01FC9D" w14:textId="77777777" w:rsidR="005E3B2E" w:rsidRDefault="005E3B2E" w:rsidP="005E3B2E">
      <w:pPr>
        <w:numPr>
          <w:ilvl w:val="0"/>
          <w:numId w:val="26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Из-за процессуального нарушения приняты незаконные и необоснованные судебные акты.</w:t>
      </w:r>
    </w:p>
    <w:p w14:paraId="3D44F2DE" w14:textId="77777777" w:rsidR="005E3B2E" w:rsidRDefault="005E3B2E" w:rsidP="005E3B2E">
      <w:pPr>
        <w:numPr>
          <w:ilvl w:val="0"/>
          <w:numId w:val="26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Дело направили на новое рассмотрение.</w:t>
      </w:r>
    </w:p>
    <w:p w14:paraId="192614B4" w14:textId="3AC937A3" w:rsidR="005E3B2E" w:rsidRP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1F497D" w:themeColor="text2"/>
          <w:sz w:val="23"/>
          <w:szCs w:val="23"/>
        </w:rPr>
      </w:pPr>
      <w:r>
        <w:rPr>
          <w:rStyle w:val="a8"/>
          <w:rFonts w:ascii="PT Serif" w:hAnsi="PT Serif"/>
          <w:color w:val="000000"/>
          <w:sz w:val="23"/>
          <w:szCs w:val="23"/>
          <w:bdr w:val="none" w:sz="0" w:space="0" w:color="auto" w:frame="1"/>
        </w:rPr>
        <w:t>Документ:</w:t>
      </w:r>
      <w:r w:rsidRPr="005E3B2E">
        <w:rPr>
          <w:rStyle w:val="a3"/>
          <w:color w:val="85005E"/>
        </w:rPr>
        <w:t> </w:t>
      </w:r>
      <w:hyperlink r:id="rId5" w:history="1">
        <w:r w:rsidRPr="005E3B2E">
          <w:rPr>
            <w:rStyle w:val="a3"/>
            <w:rFonts w:ascii="PT Serif" w:hAnsi="PT Serif"/>
            <w:color w:val="1F497D" w:themeColor="text2"/>
            <w:sz w:val="23"/>
            <w:szCs w:val="23"/>
            <w:bdr w:val="none" w:sz="0" w:space="0" w:color="auto" w:frame="1"/>
          </w:rPr>
          <w:t>Постановление АС Северо-Западного округа от 06.12.2021 по делу N А56-104752/2020</w:t>
        </w:r>
      </w:hyperlink>
    </w:p>
    <w:p w14:paraId="64F50000" w14:textId="77777777" w:rsidR="005E3B2E" w:rsidRPr="005E3B2E" w:rsidRDefault="005E3B2E" w:rsidP="005E3B2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0070C0"/>
          <w:bdr w:val="none" w:sz="0" w:space="0" w:color="auto" w:frame="1"/>
        </w:rPr>
      </w:pPr>
      <w:r w:rsidRPr="005E3B2E">
        <w:rPr>
          <w:rStyle w:val="a7"/>
          <w:rFonts w:ascii="PT Serif" w:hAnsi="PT Serif"/>
          <w:b/>
          <w:bCs/>
          <w:color w:val="0070C0"/>
          <w:sz w:val="23"/>
          <w:szCs w:val="23"/>
          <w:bdr w:val="none" w:sz="0" w:space="0" w:color="auto" w:frame="1"/>
        </w:rPr>
        <w:t>Субсидиарная ответственность</w:t>
      </w:r>
    </w:p>
    <w:p w14:paraId="260DEC33" w14:textId="77777777" w:rsidR="005E3B2E" w:rsidRDefault="005E3B2E" w:rsidP="005E3B2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Бывших руководителей общества солидарно привлекли к субсидиарной ответственности. Один из них был директором несколько лет, а второго назначили исполнять обязанности руководителя за 3 месяца до начала банкротства.</w:t>
      </w:r>
    </w:p>
    <w:p w14:paraId="7F2B1F17" w14:textId="77777777" w:rsidR="005E3B2E" w:rsidRDefault="005E3B2E" w:rsidP="005E3B2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Последний обжаловал привлечение к ответственности. В период его руководства общество не вело деятельности, он не подписывал документы, на основании которых требования кредиторов включили в реестр.</w:t>
      </w:r>
    </w:p>
    <w:p w14:paraId="3454A8E5" w14:textId="77777777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Мнение судов:</w:t>
      </w:r>
    </w:p>
    <w:p w14:paraId="2EE036A1" w14:textId="77777777" w:rsidR="005E3B2E" w:rsidRDefault="005E3B2E" w:rsidP="005E3B2E">
      <w:pPr>
        <w:numPr>
          <w:ilvl w:val="0"/>
          <w:numId w:val="27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Руководители не передали конкурсному управляющему документы общества, из-за этого не сформирована конкурсная масса и не удовлетворены требования кредиторов.</w:t>
      </w:r>
    </w:p>
    <w:p w14:paraId="6A9C855E" w14:textId="77777777" w:rsidR="005E3B2E" w:rsidRDefault="005E3B2E" w:rsidP="005E3B2E">
      <w:pPr>
        <w:numPr>
          <w:ilvl w:val="0"/>
          <w:numId w:val="27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lastRenderedPageBreak/>
        <w:t>Второй руководитель не был номинальным, однако не представил документы, которые приняты в период его руководства. К тому же, он не истребовал остальные документы у первого директора.</w:t>
      </w:r>
    </w:p>
    <w:p w14:paraId="11B560E9" w14:textId="77777777" w:rsidR="005E3B2E" w:rsidRDefault="005E3B2E" w:rsidP="005E3B2E">
      <w:pPr>
        <w:numPr>
          <w:ilvl w:val="0"/>
          <w:numId w:val="27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Нет оснований снижать размер ответственности второго руководителя.</w:t>
      </w:r>
    </w:p>
    <w:p w14:paraId="7653847C" w14:textId="77777777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Позиция кассации:</w:t>
      </w:r>
    </w:p>
    <w:p w14:paraId="7D0E91F0" w14:textId="77777777" w:rsidR="005E3B2E" w:rsidRDefault="005E3B2E" w:rsidP="005E3B2E">
      <w:pPr>
        <w:numPr>
          <w:ilvl w:val="0"/>
          <w:numId w:val="28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Солидарная ответственность не отвечает принципу справедливости.</w:t>
      </w:r>
    </w:p>
    <w:p w14:paraId="33019EFF" w14:textId="77777777" w:rsidR="005E3B2E" w:rsidRDefault="005E3B2E" w:rsidP="005E3B2E">
      <w:pPr>
        <w:numPr>
          <w:ilvl w:val="0"/>
          <w:numId w:val="28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Первый руководитель находился за пределами страны. Направлять запрос документов по российскому адресу не имело смысла, а зарубежный адрес был неизвестен.</w:t>
      </w:r>
    </w:p>
    <w:p w14:paraId="603D6B62" w14:textId="77777777" w:rsidR="005E3B2E" w:rsidRDefault="005E3B2E" w:rsidP="005E3B2E">
      <w:pPr>
        <w:numPr>
          <w:ilvl w:val="0"/>
          <w:numId w:val="28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Нет вины второго руководителя в умышленном сокрытии документов. Размер субсидиарной ответственности существенно больше вреда, который он причинил кредиторам.</w:t>
      </w:r>
    </w:p>
    <w:p w14:paraId="2F4D8B22" w14:textId="67F5132C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8"/>
          <w:rFonts w:ascii="PT Serif" w:hAnsi="PT Serif"/>
          <w:color w:val="000000"/>
          <w:sz w:val="23"/>
          <w:szCs w:val="23"/>
          <w:bdr w:val="none" w:sz="0" w:space="0" w:color="auto" w:frame="1"/>
        </w:rPr>
        <w:t>Документ:</w:t>
      </w:r>
      <w:r>
        <w:rPr>
          <w:rStyle w:val="apple-converted-space"/>
          <w:rFonts w:ascii="PT Serif" w:hAnsi="PT Serif"/>
          <w:i/>
          <w:iCs/>
          <w:color w:val="000000"/>
          <w:sz w:val="23"/>
          <w:szCs w:val="23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PT Serif" w:hAnsi="PT Serif"/>
            <w:i/>
            <w:iCs/>
            <w:color w:val="413A61"/>
            <w:sz w:val="23"/>
            <w:szCs w:val="23"/>
            <w:bdr w:val="none" w:sz="0" w:space="0" w:color="auto" w:frame="1"/>
          </w:rPr>
          <w:t>Постановление АC Волго-Вятского округа от 15.12.2021 по делу N А82-15093/2017</w:t>
        </w:r>
      </w:hyperlink>
    </w:p>
    <w:p w14:paraId="14709BB1" w14:textId="77777777" w:rsidR="005E3B2E" w:rsidRPr="005E3B2E" w:rsidRDefault="005E3B2E" w:rsidP="005E3B2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0070C0"/>
          <w:bdr w:val="none" w:sz="0" w:space="0" w:color="auto" w:frame="1"/>
        </w:rPr>
      </w:pPr>
      <w:r w:rsidRPr="005E3B2E">
        <w:rPr>
          <w:rStyle w:val="a7"/>
          <w:rFonts w:ascii="PT Serif" w:hAnsi="PT Serif"/>
          <w:b/>
          <w:bCs/>
          <w:color w:val="0070C0"/>
          <w:sz w:val="23"/>
          <w:szCs w:val="23"/>
          <w:bdr w:val="none" w:sz="0" w:space="0" w:color="auto" w:frame="1"/>
        </w:rPr>
        <w:t>Отмена обеспечительных мер</w:t>
      </w:r>
    </w:p>
    <w:p w14:paraId="3F118DCC" w14:textId="77777777" w:rsidR="005E3B2E" w:rsidRDefault="005E3B2E" w:rsidP="005E3B2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Кассация приняла обеспечительные меры по делу о банкротстве — запрет совершать регистрационные действия для недвижимости. Ходатайство об отмене этих мер подали в первую инстанцию, поскольку там в тот момент находились материалы дела. Суд отказал в отмене обеспечения.</w:t>
      </w:r>
    </w:p>
    <w:p w14:paraId="1F79A34D" w14:textId="77777777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Мнение апелляции:</w:t>
      </w:r>
    </w:p>
    <w:p w14:paraId="187A92CC" w14:textId="77777777" w:rsidR="005E3B2E" w:rsidRDefault="005E3B2E" w:rsidP="005E3B2E">
      <w:pPr>
        <w:numPr>
          <w:ilvl w:val="0"/>
          <w:numId w:val="29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Рассматривать ходатайство должен тот суд, который применил обеспечительные меры, т.е. суд округа.</w:t>
      </w:r>
    </w:p>
    <w:p w14:paraId="315E5D13" w14:textId="77777777" w:rsidR="005E3B2E" w:rsidRDefault="005E3B2E" w:rsidP="005E3B2E">
      <w:pPr>
        <w:numPr>
          <w:ilvl w:val="0"/>
          <w:numId w:val="29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Определение первой инстанции отменили, ходатайство оставили без рассмотрения.</w:t>
      </w:r>
    </w:p>
    <w:p w14:paraId="0C2567E4" w14:textId="77777777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Позиция кассации:</w:t>
      </w:r>
    </w:p>
    <w:p w14:paraId="120F3BF8" w14:textId="77777777" w:rsidR="005E3B2E" w:rsidRDefault="005E3B2E" w:rsidP="005E3B2E">
      <w:pPr>
        <w:numPr>
          <w:ilvl w:val="0"/>
          <w:numId w:val="30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Нужно учитывать срочность вопроса.</w:t>
      </w:r>
    </w:p>
    <w:p w14:paraId="6D7C5E06" w14:textId="77777777" w:rsidR="005E3B2E" w:rsidRDefault="005E3B2E" w:rsidP="005E3B2E">
      <w:pPr>
        <w:numPr>
          <w:ilvl w:val="0"/>
          <w:numId w:val="30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Можно по аналогии применить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позицию ВАС РФ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о рассмотрении ходатайства тем судом, в производстве которого находится дело (хотя подход касался вышестоящих судов).</w:t>
      </w:r>
    </w:p>
    <w:p w14:paraId="57301094" w14:textId="77777777" w:rsidR="005E3B2E" w:rsidRDefault="005E3B2E" w:rsidP="005E3B2E">
      <w:pPr>
        <w:numPr>
          <w:ilvl w:val="0"/>
          <w:numId w:val="30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Отмена определения первой инстанции неправомерна.</w:t>
      </w:r>
    </w:p>
    <w:p w14:paraId="69F8D61B" w14:textId="6DE83B5E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8"/>
          <w:rFonts w:ascii="PT Serif" w:hAnsi="PT Serif"/>
          <w:color w:val="000000"/>
          <w:sz w:val="23"/>
          <w:szCs w:val="23"/>
          <w:bdr w:val="none" w:sz="0" w:space="0" w:color="auto" w:frame="1"/>
        </w:rPr>
        <w:t>Документ:</w:t>
      </w:r>
      <w:r>
        <w:rPr>
          <w:rStyle w:val="apple-converted-space"/>
          <w:rFonts w:ascii="PT Serif" w:hAnsi="PT Serif"/>
          <w:i/>
          <w:iCs/>
          <w:color w:val="000000"/>
          <w:sz w:val="23"/>
          <w:szCs w:val="23"/>
          <w:bdr w:val="none" w:sz="0" w:space="0" w:color="auto" w:frame="1"/>
        </w:rPr>
        <w:t> </w:t>
      </w:r>
      <w:hyperlink r:id="rId8" w:history="1">
        <w:r>
          <w:rPr>
            <w:rStyle w:val="a3"/>
            <w:rFonts w:ascii="PT Serif" w:hAnsi="PT Serif"/>
            <w:i/>
            <w:iCs/>
            <w:color w:val="413A61"/>
            <w:sz w:val="23"/>
            <w:szCs w:val="23"/>
            <w:bdr w:val="none" w:sz="0" w:space="0" w:color="auto" w:frame="1"/>
          </w:rPr>
          <w:t>Постановление АС Московского округа от 16.12.2021 по делу N А40-119810/2016</w:t>
        </w:r>
      </w:hyperlink>
    </w:p>
    <w:p w14:paraId="0787FEC3" w14:textId="77777777" w:rsidR="005E3B2E" w:rsidRPr="005E3B2E" w:rsidRDefault="005E3B2E" w:rsidP="005E3B2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0070C0"/>
          <w:bdr w:val="none" w:sz="0" w:space="0" w:color="auto" w:frame="1"/>
        </w:rPr>
      </w:pPr>
      <w:r w:rsidRPr="005E3B2E">
        <w:rPr>
          <w:rStyle w:val="a7"/>
          <w:rFonts w:ascii="PT Serif" w:hAnsi="PT Serif"/>
          <w:b/>
          <w:bCs/>
          <w:color w:val="0070C0"/>
          <w:sz w:val="23"/>
          <w:szCs w:val="23"/>
          <w:bdr w:val="none" w:sz="0" w:space="0" w:color="auto" w:frame="1"/>
        </w:rPr>
        <w:t>Исключение долей в ООО из конкурсной массы</w:t>
      </w:r>
    </w:p>
    <w:p w14:paraId="07454593" w14:textId="77777777" w:rsidR="005E3B2E" w:rsidRDefault="005E3B2E" w:rsidP="005E3B2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Должник-банкрот имел доли в уставных капиталах двух обществ, их рыночная стоимость оценена практически как нулевая. Финансовый управляющий заявил об исключении этих долей из конкурсной массы.</w:t>
      </w:r>
    </w:p>
    <w:p w14:paraId="078ADDDD" w14:textId="77777777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lastRenderedPageBreak/>
        <w:t>Мнение судов:</w:t>
      </w:r>
    </w:p>
    <w:p w14:paraId="756E295E" w14:textId="77777777" w:rsidR="005E3B2E" w:rsidRDefault="005E3B2E" w:rsidP="005E3B2E">
      <w:pPr>
        <w:numPr>
          <w:ilvl w:val="0"/>
          <w:numId w:val="31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У обществ нулевые показатели бухгалтерского баланса и низкая привлекательность для покупателей.</w:t>
      </w:r>
    </w:p>
    <w:p w14:paraId="1E36034C" w14:textId="77777777" w:rsidR="005E3B2E" w:rsidRDefault="005E3B2E" w:rsidP="005E3B2E">
      <w:pPr>
        <w:numPr>
          <w:ilvl w:val="0"/>
          <w:numId w:val="31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Доход от реализации долей с учетом расходов на торги существенно не повлияет на удовлетворение требований кредиторов.</w:t>
      </w:r>
    </w:p>
    <w:p w14:paraId="19292FBC" w14:textId="77777777" w:rsidR="005E3B2E" w:rsidRDefault="005E3B2E" w:rsidP="005E3B2E">
      <w:pPr>
        <w:numPr>
          <w:ilvl w:val="0"/>
          <w:numId w:val="31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Доли исключили из конкурсной массы.</w:t>
      </w:r>
    </w:p>
    <w:p w14:paraId="5C1910D1" w14:textId="77777777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Позиция кассации:</w:t>
      </w:r>
    </w:p>
    <w:p w14:paraId="48A713BE" w14:textId="77777777" w:rsidR="005E3B2E" w:rsidRDefault="005E3B2E" w:rsidP="005E3B2E">
      <w:pPr>
        <w:numPr>
          <w:ilvl w:val="0"/>
          <w:numId w:val="32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Возможный спрос формируется с учетом не только текущего финансового состояния общества, но и перспективы его дальнейшей деятельности.</w:t>
      </w:r>
    </w:p>
    <w:p w14:paraId="4CAD367E" w14:textId="77777777" w:rsidR="005E3B2E" w:rsidRDefault="005E3B2E" w:rsidP="005E3B2E">
      <w:pPr>
        <w:numPr>
          <w:ilvl w:val="0"/>
          <w:numId w:val="32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В течение года до возбуждения дела о банкротстве были подозрительные сделки обществ с аффилированными лицами. Активы обществ можно пополнить в результате оспаривания этих сделок.</w:t>
      </w:r>
    </w:p>
    <w:p w14:paraId="2C104AC7" w14:textId="77777777" w:rsidR="005E3B2E" w:rsidRDefault="005E3B2E" w:rsidP="005E3B2E">
      <w:pPr>
        <w:numPr>
          <w:ilvl w:val="0"/>
          <w:numId w:val="32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Исключение долей из конкурсной массы преждевременно.</w:t>
      </w:r>
    </w:p>
    <w:p w14:paraId="08118751" w14:textId="2B97AC17" w:rsidR="005E3B2E" w:rsidRDefault="005E3B2E" w:rsidP="005E3B2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8"/>
          <w:rFonts w:ascii="PT Serif" w:hAnsi="PT Serif"/>
          <w:color w:val="000000"/>
          <w:sz w:val="23"/>
          <w:szCs w:val="23"/>
          <w:bdr w:val="none" w:sz="0" w:space="0" w:color="auto" w:frame="1"/>
        </w:rPr>
        <w:t>Документ:</w:t>
      </w:r>
      <w:r>
        <w:rPr>
          <w:rStyle w:val="apple-converted-space"/>
          <w:rFonts w:ascii="PT Serif" w:hAnsi="PT Serif"/>
          <w:i/>
          <w:iCs/>
          <w:color w:val="000000"/>
          <w:sz w:val="23"/>
          <w:szCs w:val="23"/>
          <w:bdr w:val="none" w:sz="0" w:space="0" w:color="auto" w:frame="1"/>
        </w:rPr>
        <w:t> </w:t>
      </w:r>
      <w:hyperlink r:id="rId9" w:history="1">
        <w:r>
          <w:rPr>
            <w:rStyle w:val="a3"/>
            <w:rFonts w:ascii="PT Serif" w:hAnsi="PT Serif"/>
            <w:i/>
            <w:iCs/>
            <w:color w:val="413A61"/>
            <w:sz w:val="23"/>
            <w:szCs w:val="23"/>
            <w:bdr w:val="none" w:sz="0" w:space="0" w:color="auto" w:frame="1"/>
          </w:rPr>
          <w:t>Постановление АС Западно-Сибирского округа от 24.12.2021 по делу N А27-9690/2020</w:t>
        </w:r>
      </w:hyperlink>
    </w:p>
    <w:sectPr w:rsidR="005E3B2E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E6801"/>
    <w:multiLevelType w:val="multilevel"/>
    <w:tmpl w:val="787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041EB"/>
    <w:multiLevelType w:val="multilevel"/>
    <w:tmpl w:val="06D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87C42"/>
    <w:multiLevelType w:val="multilevel"/>
    <w:tmpl w:val="A60E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E2D2F"/>
    <w:multiLevelType w:val="multilevel"/>
    <w:tmpl w:val="536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43699"/>
    <w:multiLevelType w:val="multilevel"/>
    <w:tmpl w:val="7AB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53764"/>
    <w:multiLevelType w:val="multilevel"/>
    <w:tmpl w:val="509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138DF"/>
    <w:multiLevelType w:val="multilevel"/>
    <w:tmpl w:val="EA8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5431D"/>
    <w:multiLevelType w:val="multilevel"/>
    <w:tmpl w:val="D56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474DA"/>
    <w:multiLevelType w:val="multilevel"/>
    <w:tmpl w:val="60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D2887"/>
    <w:multiLevelType w:val="multilevel"/>
    <w:tmpl w:val="FED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C2790B"/>
    <w:multiLevelType w:val="multilevel"/>
    <w:tmpl w:val="D70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22"/>
  </w:num>
  <w:num w:numId="10">
    <w:abstractNumId w:val="30"/>
  </w:num>
  <w:num w:numId="11">
    <w:abstractNumId w:val="28"/>
  </w:num>
  <w:num w:numId="12">
    <w:abstractNumId w:val="13"/>
  </w:num>
  <w:num w:numId="13">
    <w:abstractNumId w:val="19"/>
  </w:num>
  <w:num w:numId="14">
    <w:abstractNumId w:val="20"/>
  </w:num>
  <w:num w:numId="15">
    <w:abstractNumId w:val="31"/>
  </w:num>
  <w:num w:numId="16">
    <w:abstractNumId w:val="21"/>
  </w:num>
  <w:num w:numId="17">
    <w:abstractNumId w:val="26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24"/>
  </w:num>
  <w:num w:numId="23">
    <w:abstractNumId w:val="16"/>
  </w:num>
  <w:num w:numId="24">
    <w:abstractNumId w:val="25"/>
  </w:num>
  <w:num w:numId="25">
    <w:abstractNumId w:val="27"/>
  </w:num>
  <w:num w:numId="26">
    <w:abstractNumId w:val="12"/>
  </w:num>
  <w:num w:numId="27">
    <w:abstractNumId w:val="11"/>
  </w:num>
  <w:num w:numId="28">
    <w:abstractNumId w:val="8"/>
  </w:num>
  <w:num w:numId="29">
    <w:abstractNumId w:val="18"/>
  </w:num>
  <w:num w:numId="30">
    <w:abstractNumId w:val="17"/>
  </w:num>
  <w:num w:numId="31">
    <w:abstractNumId w:val="23"/>
  </w:num>
  <w:num w:numId="3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9354D"/>
    <w:rsid w:val="002B6460"/>
    <w:rsid w:val="002C5337"/>
    <w:rsid w:val="002D04F3"/>
    <w:rsid w:val="0030601F"/>
    <w:rsid w:val="0031353D"/>
    <w:rsid w:val="003138CA"/>
    <w:rsid w:val="00336D46"/>
    <w:rsid w:val="00344756"/>
    <w:rsid w:val="00357560"/>
    <w:rsid w:val="003B2738"/>
    <w:rsid w:val="003D716A"/>
    <w:rsid w:val="003F5829"/>
    <w:rsid w:val="00404F48"/>
    <w:rsid w:val="00406049"/>
    <w:rsid w:val="00417125"/>
    <w:rsid w:val="004309BD"/>
    <w:rsid w:val="004A7FD3"/>
    <w:rsid w:val="0051337A"/>
    <w:rsid w:val="005221B8"/>
    <w:rsid w:val="0053086B"/>
    <w:rsid w:val="005405EC"/>
    <w:rsid w:val="00570E47"/>
    <w:rsid w:val="00586118"/>
    <w:rsid w:val="005B2081"/>
    <w:rsid w:val="005D55B8"/>
    <w:rsid w:val="005D760F"/>
    <w:rsid w:val="005E3B2E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96BDC"/>
    <w:rsid w:val="00BB5614"/>
    <w:rsid w:val="00BD5BEC"/>
    <w:rsid w:val="00C10670"/>
    <w:rsid w:val="00C345D0"/>
    <w:rsid w:val="00C36422"/>
    <w:rsid w:val="00C97E9C"/>
    <w:rsid w:val="00CA1A58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121CE"/>
    <w:rsid w:val="00E47CE9"/>
    <w:rsid w:val="00E941BC"/>
    <w:rsid w:val="00EA6DDB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6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1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76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517837">
                  <w:marLeft w:val="0"/>
                  <w:marRight w:val="0"/>
                  <w:marTop w:val="0"/>
                  <w:marBottom w:val="0"/>
                  <w:divBdr>
                    <w:top w:val="single" w:sz="6" w:space="0" w:color="E6E3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858997">
                  <w:marLeft w:val="0"/>
                  <w:marRight w:val="0"/>
                  <w:marTop w:val="0"/>
                  <w:marBottom w:val="0"/>
                  <w:divBdr>
                    <w:top w:val="single" w:sz="6" w:space="0" w:color="E6E3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8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0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8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2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2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7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1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2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7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6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6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81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1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9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single" w:sz="6" w:space="0" w:color="E6E3EB"/>
                                <w:right w:val="none" w:sz="0" w:space="0" w:color="auto"/>
                              </w:divBdr>
                              <w:divsChild>
                                <w:div w:id="1259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6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MS&amp;n=404954&amp;dst=10003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218872;dst=100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VV&amp;n=104420&amp;dst=1000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SSZ&amp;n=256028&amp;dst=1000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ZS&amp;n=182517&amp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2022-01-20T09:39:00Z</dcterms:created>
  <dcterms:modified xsi:type="dcterms:W3CDTF">2022-01-20T09:39:00Z</dcterms:modified>
</cp:coreProperties>
</file>