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98" w:rsidRPr="00875198" w:rsidRDefault="00875198" w:rsidP="00875198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875198">
        <w:rPr>
          <w:b/>
          <w:bCs/>
          <w:iCs/>
          <w:color w:val="auto"/>
          <w:sz w:val="32"/>
          <w:szCs w:val="32"/>
          <w:lang w:eastAsia="en-US"/>
        </w:rPr>
        <w:t xml:space="preserve">Мартовская отчетность </w:t>
      </w:r>
      <w:proofErr w:type="gramStart"/>
      <w:r w:rsidRPr="00875198">
        <w:rPr>
          <w:b/>
          <w:bCs/>
          <w:iCs/>
          <w:color w:val="auto"/>
          <w:sz w:val="32"/>
          <w:szCs w:val="32"/>
          <w:lang w:eastAsia="en-US"/>
        </w:rPr>
        <w:t>бухгалтера</w:t>
      </w:r>
      <w:proofErr w:type="gramEnd"/>
      <w:r w:rsidRPr="00875198">
        <w:rPr>
          <w:b/>
          <w:bCs/>
          <w:iCs/>
          <w:color w:val="auto"/>
          <w:sz w:val="32"/>
          <w:szCs w:val="32"/>
          <w:lang w:eastAsia="en-US"/>
        </w:rPr>
        <w:t>: какие формы обновлены</w:t>
      </w:r>
    </w:p>
    <w:p w:rsidR="00875198" w:rsidRPr="00875198" w:rsidRDefault="00875198" w:rsidP="0087519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875198">
        <w:rPr>
          <w:sz w:val="24"/>
          <w:szCs w:val="24"/>
        </w:rPr>
        <w:t xml:space="preserve">Заявить о льготах на автомобили и землю лучше до конца месяца. Чтобы не платить налог за уничтоженный транспорт, нужно заполнить новый бланк. Об этих и других нюансах мартовской отчетной кампании </w:t>
      </w:r>
      <w:r>
        <w:rPr>
          <w:sz w:val="24"/>
          <w:szCs w:val="24"/>
        </w:rPr>
        <w:t>подробнее</w:t>
      </w:r>
      <w:r w:rsidRPr="00875198">
        <w:rPr>
          <w:sz w:val="24"/>
          <w:szCs w:val="24"/>
        </w:rPr>
        <w:t xml:space="preserve"> в </w:t>
      </w:r>
      <w:r>
        <w:rPr>
          <w:sz w:val="24"/>
          <w:szCs w:val="24"/>
        </w:rPr>
        <w:t>кейсе</w:t>
      </w:r>
      <w:r w:rsidRPr="00875198">
        <w:rPr>
          <w:sz w:val="24"/>
          <w:szCs w:val="24"/>
        </w:rPr>
        <w:t>.</w:t>
      </w:r>
    </w:p>
    <w:p w:rsidR="00875198" w:rsidRPr="00875198" w:rsidRDefault="00875198" w:rsidP="000A140F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:rsidR="00875198" w:rsidRPr="00875198" w:rsidRDefault="00875198" w:rsidP="0087519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875198">
        <w:rPr>
          <w:b/>
          <w:bCs/>
          <w:color w:val="4F81BD" w:themeColor="accent1"/>
          <w:sz w:val="28"/>
          <w:szCs w:val="28"/>
          <w:lang w:eastAsia="en-US"/>
        </w:rPr>
        <w:t>Последние события</w:t>
      </w:r>
    </w:p>
    <w:p w:rsidR="00875198" w:rsidRPr="00875198" w:rsidRDefault="00875198" w:rsidP="0087519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5198">
        <w:rPr>
          <w:b/>
          <w:color w:val="auto"/>
          <w:sz w:val="24"/>
          <w:szCs w:val="24"/>
          <w:lang w:eastAsia="en-US"/>
        </w:rPr>
        <w:t>23 марта.</w:t>
      </w:r>
      <w:r w:rsidRPr="00875198">
        <w:rPr>
          <w:color w:val="auto"/>
          <w:sz w:val="24"/>
          <w:szCs w:val="24"/>
          <w:lang w:eastAsia="en-US"/>
        </w:rPr>
        <w:t xml:space="preserve"> Сообщать об уничтожении ав</w:t>
      </w:r>
      <w:r>
        <w:rPr>
          <w:color w:val="auto"/>
          <w:sz w:val="24"/>
          <w:szCs w:val="24"/>
          <w:lang w:eastAsia="en-US"/>
        </w:rPr>
        <w:t>томобиля нужно по единой форме.</w:t>
      </w:r>
    </w:p>
    <w:p w:rsidR="00875198" w:rsidRPr="00875198" w:rsidRDefault="00875198" w:rsidP="0087519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5198">
        <w:rPr>
          <w:b/>
          <w:color w:val="auto"/>
          <w:sz w:val="24"/>
          <w:szCs w:val="24"/>
          <w:lang w:eastAsia="en-US"/>
        </w:rPr>
        <w:t>22 марта.</w:t>
      </w:r>
      <w:r w:rsidRPr="00875198">
        <w:rPr>
          <w:color w:val="auto"/>
          <w:sz w:val="24"/>
          <w:szCs w:val="24"/>
          <w:lang w:eastAsia="en-US"/>
        </w:rPr>
        <w:t xml:space="preserve"> При трудоустройстве безработных</w:t>
      </w:r>
      <w:r>
        <w:rPr>
          <w:color w:val="auto"/>
          <w:sz w:val="24"/>
          <w:szCs w:val="24"/>
          <w:lang w:eastAsia="en-US"/>
        </w:rPr>
        <w:t xml:space="preserve"> можно будет получить субсидию.</w:t>
      </w:r>
    </w:p>
    <w:p w:rsidR="000A140F" w:rsidRDefault="00875198" w:rsidP="0087519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875198">
        <w:rPr>
          <w:b/>
          <w:color w:val="auto"/>
          <w:sz w:val="24"/>
          <w:szCs w:val="24"/>
          <w:lang w:eastAsia="en-US"/>
        </w:rPr>
        <w:t>12 марта.</w:t>
      </w:r>
      <w:r>
        <w:rPr>
          <w:color w:val="auto"/>
          <w:sz w:val="24"/>
          <w:szCs w:val="24"/>
          <w:lang w:eastAsia="en-US"/>
        </w:rPr>
        <w:t xml:space="preserve"> </w:t>
      </w:r>
      <w:r w:rsidRPr="00875198">
        <w:rPr>
          <w:color w:val="auto"/>
          <w:sz w:val="24"/>
          <w:szCs w:val="24"/>
          <w:lang w:eastAsia="en-US"/>
        </w:rPr>
        <w:t>Правительство продлило срок маркировки остатков</w:t>
      </w:r>
      <w:r>
        <w:rPr>
          <w:color w:val="auto"/>
          <w:sz w:val="24"/>
          <w:szCs w:val="24"/>
          <w:lang w:eastAsia="en-US"/>
        </w:rPr>
        <w:t xml:space="preserve"> товаров легкой промышленности.</w:t>
      </w:r>
    </w:p>
    <w:p w:rsidR="00875198" w:rsidRDefault="00875198" w:rsidP="0087519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875198">
        <w:rPr>
          <w:b/>
          <w:bCs/>
          <w:color w:val="4F81BD" w:themeColor="accent1"/>
          <w:sz w:val="28"/>
          <w:szCs w:val="28"/>
          <w:lang w:eastAsia="en-US"/>
        </w:rPr>
        <w:t>До</w:t>
      </w:r>
      <w:r>
        <w:rPr>
          <w:b/>
          <w:bCs/>
          <w:color w:val="4F81BD" w:themeColor="accent1"/>
          <w:sz w:val="28"/>
          <w:szCs w:val="28"/>
          <w:lang w:eastAsia="en-US"/>
        </w:rPr>
        <w:t>кументы для налоговой инспекции</w:t>
      </w: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sz w:val="28"/>
          <w:szCs w:val="28"/>
          <w:lang w:eastAsia="en-US"/>
        </w:rPr>
      </w:pPr>
      <w:r w:rsidRPr="00875198">
        <w:rPr>
          <w:b/>
          <w:sz w:val="28"/>
          <w:szCs w:val="28"/>
          <w:lang w:eastAsia="en-US"/>
        </w:rPr>
        <w:t>Имущественные налоги</w:t>
      </w: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lang w:eastAsia="en-US"/>
        </w:rPr>
      </w:pPr>
      <w:r w:rsidRPr="00875198">
        <w:rPr>
          <w:b/>
          <w:lang w:eastAsia="en-US"/>
        </w:rPr>
        <w:t xml:space="preserve">Заявление о льготах на автомобили и землю. 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>Если у вас есть право на льготу за 2020 год, не забудьте подать специальное заявление. ФНС рекомендует с</w:t>
      </w:r>
      <w:r>
        <w:rPr>
          <w:lang w:eastAsia="en-US"/>
        </w:rPr>
        <w:t>делать это до конца I квартала.</w:t>
      </w: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lang w:eastAsia="en-US"/>
        </w:rPr>
      </w:pPr>
      <w:r w:rsidRPr="00875198">
        <w:rPr>
          <w:b/>
          <w:lang w:eastAsia="en-US"/>
        </w:rPr>
        <w:t xml:space="preserve">Заявление об уничтожении автомобиля. 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Единая форма заявления действует с 23 марта. Она похожа на ту, что рекомендовали ранее. 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Значительных новшеств нет. Налоговики поменяли </w:t>
      </w:r>
      <w:proofErr w:type="gramStart"/>
      <w:r>
        <w:rPr>
          <w:lang w:eastAsia="en-US"/>
        </w:rPr>
        <w:t>штрих-код</w:t>
      </w:r>
      <w:r>
        <w:rPr>
          <w:lang w:eastAsia="en-US"/>
        </w:rPr>
        <w:t>ы</w:t>
      </w:r>
      <w:proofErr w:type="gramEnd"/>
      <w:r>
        <w:rPr>
          <w:lang w:eastAsia="en-US"/>
        </w:rPr>
        <w:t xml:space="preserve"> и внесли несколько </w:t>
      </w:r>
      <w:proofErr w:type="spellStart"/>
      <w:r>
        <w:rPr>
          <w:lang w:eastAsia="en-US"/>
        </w:rPr>
        <w:t>техправок</w:t>
      </w:r>
      <w:proofErr w:type="spellEnd"/>
      <w:r>
        <w:rPr>
          <w:lang w:eastAsia="en-US"/>
        </w:rPr>
        <w:t>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>Кроме того, ведомство разработало порядок заполнения</w:t>
      </w:r>
      <w:r>
        <w:rPr>
          <w:lang w:eastAsia="en-US"/>
        </w:rPr>
        <w:t xml:space="preserve"> заявления. Например, пояснили: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- </w:t>
      </w:r>
      <w:r>
        <w:rPr>
          <w:lang w:eastAsia="en-US"/>
        </w:rPr>
        <w:t>поля, где отражают сведения о подтверждающем документе, можно не заполнять, если этот документ приложен к заявлению;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- </w:t>
      </w:r>
      <w:r>
        <w:rPr>
          <w:lang w:eastAsia="en-US"/>
        </w:rPr>
        <w:t>нельзя исправлять ошибки корректирующим средством и печатать заявление с двух сторон;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- </w:t>
      </w:r>
      <w:r>
        <w:rPr>
          <w:lang w:eastAsia="en-US"/>
        </w:rPr>
        <w:t xml:space="preserve">в распечатанном заявлении может не быть рамок знакомест и прочерков, но расположение и размеры зон не должны меняться. Знаки печатают шрифтом </w:t>
      </w:r>
      <w:proofErr w:type="spellStart"/>
      <w:r>
        <w:rPr>
          <w:lang w:eastAsia="en-US"/>
        </w:rPr>
        <w:t>Couri</w:t>
      </w:r>
      <w:r>
        <w:rPr>
          <w:lang w:eastAsia="en-US"/>
        </w:rPr>
        <w:t>er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New</w:t>
      </w:r>
      <w:proofErr w:type="spellEnd"/>
      <w:r>
        <w:rPr>
          <w:lang w:eastAsia="en-US"/>
        </w:rPr>
        <w:t xml:space="preserve"> высотой 16 – 18 пунктов.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:rsidR="00875198" w:rsidRPr="00875198" w:rsidRDefault="00875198" w:rsidP="00875198">
      <w:pPr>
        <w:pStyle w:val="a6"/>
        <w:tabs>
          <w:tab w:val="left" w:pos="1995"/>
        </w:tabs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sz w:val="28"/>
          <w:szCs w:val="28"/>
          <w:lang w:eastAsia="en-US"/>
        </w:rPr>
      </w:pPr>
      <w:r w:rsidRPr="00875198">
        <w:rPr>
          <w:b/>
          <w:sz w:val="28"/>
          <w:szCs w:val="28"/>
          <w:lang w:eastAsia="en-US"/>
        </w:rPr>
        <w:t>УСН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lang w:eastAsia="en-US"/>
        </w:rPr>
      </w:pPr>
      <w:r w:rsidRPr="00875198">
        <w:rPr>
          <w:b/>
          <w:lang w:eastAsia="en-US"/>
        </w:rPr>
        <w:t xml:space="preserve">Декларация за 2020 год. 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>В течение всей отчетной кампании можно сдать декларацию по прежней форме. С 20 марта введена альтернатива: допустимо подать новую форму, если для</w:t>
      </w:r>
      <w:r>
        <w:rPr>
          <w:lang w:eastAsia="en-US"/>
        </w:rPr>
        <w:t xml:space="preserve"> налогоплательщика это удобнее.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 w:rsidRPr="00875198">
        <w:rPr>
          <w:b/>
          <w:lang w:eastAsia="en-US"/>
        </w:rPr>
        <w:t>Уведомление о переходе с ЕНВД на УСН.</w:t>
      </w:r>
      <w:r>
        <w:rPr>
          <w:lang w:eastAsia="en-US"/>
        </w:rPr>
        <w:t xml:space="preserve"> Срок уведомления налоговиков о переходе с ЕНВД </w:t>
      </w:r>
      <w:r>
        <w:rPr>
          <w:lang w:eastAsia="en-US"/>
        </w:rPr>
        <w:t>на УСН продлили до конца марта.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sz w:val="28"/>
          <w:szCs w:val="28"/>
          <w:lang w:eastAsia="en-US"/>
        </w:rPr>
      </w:pPr>
      <w:r w:rsidRPr="00875198">
        <w:rPr>
          <w:b/>
          <w:sz w:val="28"/>
          <w:szCs w:val="28"/>
          <w:lang w:eastAsia="en-US"/>
        </w:rPr>
        <w:t>Истребование документов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С 17 марта сведения по контролируемым сделкам могут запросить не только у сторон. Налоговый орган, проводящий проверку, может истребовать документы и информацию у лиц, которые обладают необходимыми данными. Срок передачи данных — 10 дней </w:t>
      </w:r>
      <w:proofErr w:type="gramStart"/>
      <w:r>
        <w:rPr>
          <w:lang w:eastAsia="en-US"/>
        </w:rPr>
        <w:t>с даты получения</w:t>
      </w:r>
      <w:proofErr w:type="gramEnd"/>
      <w:r>
        <w:rPr>
          <w:lang w:eastAsia="en-US"/>
        </w:rPr>
        <w:t xml:space="preserve"> требования.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sz w:val="28"/>
          <w:szCs w:val="28"/>
          <w:lang w:eastAsia="en-US"/>
        </w:rPr>
      </w:pPr>
      <w:r w:rsidRPr="00875198">
        <w:rPr>
          <w:b/>
          <w:sz w:val="28"/>
          <w:szCs w:val="28"/>
          <w:lang w:eastAsia="en-US"/>
        </w:rPr>
        <w:t>Обжалование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Вышестоящий налоговый орган теперь может приостановить рассмотрение жалобы на 6 месяцев, если заявителю необходимо представить дополнительные документы и </w:t>
      </w:r>
      <w:r>
        <w:rPr>
          <w:lang w:eastAsia="en-US"/>
        </w:rPr>
        <w:lastRenderedPageBreak/>
        <w:t>информацию. Появились и другие нюансы. Новшества применяются к жалобам, поданным после 17 марта.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sz w:val="28"/>
          <w:szCs w:val="28"/>
          <w:lang w:eastAsia="en-US"/>
        </w:rPr>
      </w:pPr>
      <w:r w:rsidRPr="00875198">
        <w:rPr>
          <w:b/>
          <w:sz w:val="28"/>
          <w:szCs w:val="28"/>
          <w:lang w:eastAsia="en-US"/>
        </w:rPr>
        <w:t>Ведение архива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>С 17 марта налогоплательщики и налоговые агенты обязаны хранить регистры налогового учета, а также документы для исчисления, удержания и уплаты налогов в течение 5 лет, а не 4.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sz w:val="28"/>
          <w:szCs w:val="28"/>
          <w:lang w:eastAsia="en-US"/>
        </w:rPr>
      </w:pPr>
      <w:proofErr w:type="spellStart"/>
      <w:r w:rsidRPr="00875198">
        <w:rPr>
          <w:b/>
          <w:sz w:val="28"/>
          <w:szCs w:val="28"/>
          <w:lang w:eastAsia="en-US"/>
        </w:rPr>
        <w:t>Бухотчетность</w:t>
      </w:r>
      <w:proofErr w:type="spellEnd"/>
      <w:r w:rsidRPr="00875198">
        <w:rPr>
          <w:b/>
          <w:sz w:val="28"/>
          <w:szCs w:val="28"/>
          <w:lang w:eastAsia="en-US"/>
        </w:rPr>
        <w:t xml:space="preserve"> коммерческих организаций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>Необходимо учесть следующее:</w:t>
      </w:r>
    </w:p>
    <w:p w:rsidR="00875198" w:rsidRDefault="00875198" w:rsidP="00875198">
      <w:pPr>
        <w:pStyle w:val="a6"/>
        <w:numPr>
          <w:ilvl w:val="0"/>
          <w:numId w:val="41"/>
        </w:numPr>
        <w:spacing w:before="0" w:beforeAutospacing="0" w:after="0" w:afterAutospacing="0" w:line="286" w:lineRule="atLeast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годовая бухгалтерская отчетность А</w:t>
      </w:r>
      <w:proofErr w:type="gramStart"/>
      <w:r>
        <w:rPr>
          <w:lang w:eastAsia="en-US"/>
        </w:rPr>
        <w:t>О и ООО</w:t>
      </w:r>
      <w:proofErr w:type="gramEnd"/>
      <w:r>
        <w:rPr>
          <w:lang w:eastAsia="en-US"/>
        </w:rPr>
        <w:t xml:space="preserve"> может быть утверждена на заочном собрании;</w:t>
      </w:r>
    </w:p>
    <w:p w:rsidR="00875198" w:rsidRDefault="00875198" w:rsidP="00875198">
      <w:pPr>
        <w:pStyle w:val="a6"/>
        <w:numPr>
          <w:ilvl w:val="0"/>
          <w:numId w:val="41"/>
        </w:numPr>
        <w:spacing w:before="0" w:beforeAutospacing="0" w:after="0" w:afterAutospacing="0" w:line="286" w:lineRule="atLeast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в балансе и отчете о </w:t>
      </w:r>
      <w:proofErr w:type="spellStart"/>
      <w:r>
        <w:rPr>
          <w:lang w:eastAsia="en-US"/>
        </w:rPr>
        <w:t>финрезультатах</w:t>
      </w:r>
      <w:proofErr w:type="spellEnd"/>
      <w:r>
        <w:rPr>
          <w:lang w:eastAsia="en-US"/>
        </w:rPr>
        <w:t xml:space="preserve"> можно не раскрывать информацию, если это приведет к экономическим потерям или урону деловой репутации организации, ее контрагентов или связанных с ней сторон. Подробности см. в разъяснении Минфина;</w:t>
      </w:r>
    </w:p>
    <w:p w:rsidR="00875198" w:rsidRDefault="00875198" w:rsidP="00875198">
      <w:pPr>
        <w:pStyle w:val="a6"/>
        <w:numPr>
          <w:ilvl w:val="0"/>
          <w:numId w:val="41"/>
        </w:numPr>
        <w:spacing w:before="0" w:beforeAutospacing="0" w:after="0" w:afterAutospacing="0" w:line="286" w:lineRule="atLeast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отчет о </w:t>
      </w:r>
      <w:proofErr w:type="spellStart"/>
      <w:r>
        <w:rPr>
          <w:lang w:eastAsia="en-US"/>
        </w:rPr>
        <w:t>финрезультатах</w:t>
      </w:r>
      <w:proofErr w:type="spellEnd"/>
      <w:r>
        <w:rPr>
          <w:lang w:eastAsia="en-US"/>
        </w:rPr>
        <w:t xml:space="preserve"> составляется на обновленном бланке;</w:t>
      </w:r>
    </w:p>
    <w:p w:rsidR="00875198" w:rsidRDefault="00875198" w:rsidP="00875198">
      <w:pPr>
        <w:pStyle w:val="a6"/>
        <w:numPr>
          <w:ilvl w:val="0"/>
          <w:numId w:val="41"/>
        </w:numPr>
        <w:spacing w:before="0" w:beforeAutospacing="0" w:after="0" w:afterAutospacing="0" w:line="286" w:lineRule="atLeast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нельзя подавать инспекциям сведения на бумаге. Такую отчетность не примут;</w:t>
      </w:r>
    </w:p>
    <w:p w:rsidR="00875198" w:rsidRDefault="00875198" w:rsidP="00875198">
      <w:pPr>
        <w:pStyle w:val="a6"/>
        <w:numPr>
          <w:ilvl w:val="0"/>
          <w:numId w:val="41"/>
        </w:numPr>
        <w:spacing w:before="0" w:beforeAutospacing="0" w:after="0" w:afterAutospacing="0" w:line="286" w:lineRule="atLeast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изменился перечень лиц, отчетность которых подлежит обязательному аудиту. Это касается, к примеру, организаций, чьи доходы превысили 800 </w:t>
      </w:r>
      <w:proofErr w:type="gramStart"/>
      <w:r>
        <w:rPr>
          <w:lang w:eastAsia="en-US"/>
        </w:rPr>
        <w:t>млн</w:t>
      </w:r>
      <w:proofErr w:type="gramEnd"/>
      <w:r>
        <w:rPr>
          <w:lang w:eastAsia="en-US"/>
        </w:rPr>
        <w:t xml:space="preserve"> руб. или активы составили более 400 млн руб. Ранее пороговые значения были 400 млн руб. выручки и 60 млн руб. активов.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875198">
        <w:rPr>
          <w:b/>
          <w:bCs/>
          <w:color w:val="4F81BD" w:themeColor="accent1"/>
          <w:sz w:val="28"/>
          <w:szCs w:val="28"/>
          <w:lang w:eastAsia="en-US"/>
        </w:rPr>
        <w:t>Платежи и маркировка</w:t>
      </w: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/>
          <w:sz w:val="28"/>
          <w:szCs w:val="28"/>
        </w:rPr>
      </w:pPr>
      <w:r w:rsidRPr="00875198">
        <w:rPr>
          <w:b/>
          <w:sz w:val="28"/>
          <w:szCs w:val="28"/>
        </w:rPr>
        <w:t>Рассрочка по долгам МСП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textAlignment w:val="baseline"/>
      </w:pPr>
      <w:r>
        <w:t>По исполнительным документам, предъявленным до 1 мая 2021 года, малый и средний бизнес из пострадавших отраслей может получить бесплатную рассрочку до 1 августа 2</w:t>
      </w:r>
      <w:r>
        <w:t>021 года.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textAlignment w:val="baseline"/>
      </w:pPr>
      <w:r>
        <w:t>Для этого должнику нужно обратиться к приставу с заявлением и графиком ежемесячного погашения долга равными платежами.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875198" w:rsidRP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875198">
        <w:rPr>
          <w:b/>
          <w:sz w:val="28"/>
          <w:szCs w:val="28"/>
        </w:rPr>
        <w:t>Маркировка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875198">
        <w:rPr>
          <w:b/>
        </w:rPr>
        <w:t>Фототовары и духи.</w:t>
      </w:r>
      <w:r>
        <w:t xml:space="preserve"> С 1 апреля прекратит действовать специальное правило оборота немаркированных импортных комплектов и наборов, в кото</w:t>
      </w:r>
      <w:r>
        <w:t>рые входят фототовары или духи.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До этой</w:t>
      </w:r>
      <w:r>
        <w:t xml:space="preserve"> даты участники оборота вправе:</w:t>
      </w:r>
    </w:p>
    <w:p w:rsidR="00875198" w:rsidRDefault="00875198" w:rsidP="00875198">
      <w:pPr>
        <w:pStyle w:val="a6"/>
        <w:numPr>
          <w:ilvl w:val="0"/>
          <w:numId w:val="41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ввозить наборы и комплекты товаров, в состав которых входят фототовары или парфюм, без маркировки;</w:t>
      </w:r>
    </w:p>
    <w:p w:rsidR="00875198" w:rsidRDefault="00875198" w:rsidP="00875198">
      <w:pPr>
        <w:pStyle w:val="a6"/>
        <w:numPr>
          <w:ilvl w:val="0"/>
          <w:numId w:val="41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реализовывать в России ввезенные наборы и комплекты без маркировки;</w:t>
      </w:r>
    </w:p>
    <w:p w:rsidR="00875198" w:rsidRDefault="00875198" w:rsidP="00875198">
      <w:pPr>
        <w:pStyle w:val="a6"/>
        <w:numPr>
          <w:ilvl w:val="0"/>
          <w:numId w:val="41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не вносить в систему маркировки сведения об операциях с этими наборами и комплектами.</w:t>
      </w:r>
    </w:p>
    <w:p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Есть проект о продлен</w:t>
      </w:r>
      <w:r>
        <w:t>ии этого правила до 1 сентября.</w:t>
      </w:r>
    </w:p>
    <w:p w:rsidR="0058611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bookmarkStart w:id="0" w:name="_GoBack"/>
      <w:proofErr w:type="spellStart"/>
      <w:r w:rsidRPr="00875198">
        <w:rPr>
          <w:b/>
        </w:rPr>
        <w:t>Легпром</w:t>
      </w:r>
      <w:proofErr w:type="spellEnd"/>
      <w:r w:rsidRPr="00875198">
        <w:rPr>
          <w:b/>
        </w:rPr>
        <w:t>.</w:t>
      </w:r>
      <w:bookmarkEnd w:id="0"/>
      <w:r>
        <w:t xml:space="preserve"> Хранить, перевозить и маркировать прошлогодние остатки одежды, постельного и кухонного белья можно до 1 мая. Из</w:t>
      </w:r>
      <w:r>
        <w:t>начально срок был до 1 февраля.</w:t>
      </w:r>
    </w:p>
    <w:sectPr w:rsidR="0058611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EC1A6B"/>
    <w:multiLevelType w:val="hybridMultilevel"/>
    <w:tmpl w:val="84E4B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2272BD"/>
    <w:multiLevelType w:val="hybridMultilevel"/>
    <w:tmpl w:val="19BEE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1D2C90"/>
    <w:multiLevelType w:val="hybridMultilevel"/>
    <w:tmpl w:val="0D5255A2"/>
    <w:lvl w:ilvl="0" w:tplc="8ED0371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918F9"/>
    <w:multiLevelType w:val="hybridMultilevel"/>
    <w:tmpl w:val="66369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694027F"/>
    <w:multiLevelType w:val="hybridMultilevel"/>
    <w:tmpl w:val="3850B7F2"/>
    <w:lvl w:ilvl="0" w:tplc="3D3EDFE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A6B2C85"/>
    <w:multiLevelType w:val="hybridMultilevel"/>
    <w:tmpl w:val="4646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D8F2FB5"/>
    <w:multiLevelType w:val="hybridMultilevel"/>
    <w:tmpl w:val="FB326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7720635"/>
    <w:multiLevelType w:val="hybridMultilevel"/>
    <w:tmpl w:val="CF72D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78129A0"/>
    <w:multiLevelType w:val="hybridMultilevel"/>
    <w:tmpl w:val="1578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426618D"/>
    <w:multiLevelType w:val="hybridMultilevel"/>
    <w:tmpl w:val="5C20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A63F36"/>
    <w:multiLevelType w:val="hybridMultilevel"/>
    <w:tmpl w:val="6C7E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7AF0508"/>
    <w:multiLevelType w:val="hybridMultilevel"/>
    <w:tmpl w:val="1D604C26"/>
    <w:lvl w:ilvl="0" w:tplc="D6FAB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7C54151"/>
    <w:multiLevelType w:val="hybridMultilevel"/>
    <w:tmpl w:val="031234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8D6392C"/>
    <w:multiLevelType w:val="hybridMultilevel"/>
    <w:tmpl w:val="0FC4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3D01D71"/>
    <w:multiLevelType w:val="hybridMultilevel"/>
    <w:tmpl w:val="3954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3053AE"/>
    <w:multiLevelType w:val="hybridMultilevel"/>
    <w:tmpl w:val="250C9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8"/>
  </w:num>
  <w:num w:numId="5">
    <w:abstractNumId w:val="22"/>
  </w:num>
  <w:num w:numId="6">
    <w:abstractNumId w:val="5"/>
  </w:num>
  <w:num w:numId="7">
    <w:abstractNumId w:val="9"/>
  </w:num>
  <w:num w:numId="8">
    <w:abstractNumId w:val="37"/>
  </w:num>
  <w:num w:numId="9">
    <w:abstractNumId w:val="36"/>
  </w:num>
  <w:num w:numId="10">
    <w:abstractNumId w:val="32"/>
  </w:num>
  <w:num w:numId="11">
    <w:abstractNumId w:val="33"/>
  </w:num>
  <w:num w:numId="12">
    <w:abstractNumId w:val="27"/>
  </w:num>
  <w:num w:numId="13">
    <w:abstractNumId w:val="10"/>
  </w:num>
  <w:num w:numId="14">
    <w:abstractNumId w:val="39"/>
  </w:num>
  <w:num w:numId="15">
    <w:abstractNumId w:val="35"/>
  </w:num>
  <w:num w:numId="16">
    <w:abstractNumId w:val="11"/>
  </w:num>
  <w:num w:numId="17">
    <w:abstractNumId w:val="21"/>
  </w:num>
  <w:num w:numId="18">
    <w:abstractNumId w:val="19"/>
  </w:num>
  <w:num w:numId="19">
    <w:abstractNumId w:val="30"/>
  </w:num>
  <w:num w:numId="20">
    <w:abstractNumId w:val="16"/>
  </w:num>
  <w:num w:numId="21">
    <w:abstractNumId w:val="13"/>
  </w:num>
  <w:num w:numId="22">
    <w:abstractNumId w:val="15"/>
  </w:num>
  <w:num w:numId="23">
    <w:abstractNumId w:val="40"/>
  </w:num>
  <w:num w:numId="24">
    <w:abstractNumId w:val="6"/>
  </w:num>
  <w:num w:numId="25">
    <w:abstractNumId w:val="38"/>
  </w:num>
  <w:num w:numId="26">
    <w:abstractNumId w:val="26"/>
  </w:num>
  <w:num w:numId="27">
    <w:abstractNumId w:val="7"/>
  </w:num>
  <w:num w:numId="28">
    <w:abstractNumId w:val="14"/>
  </w:num>
  <w:num w:numId="29">
    <w:abstractNumId w:val="31"/>
  </w:num>
  <w:num w:numId="30">
    <w:abstractNumId w:val="23"/>
  </w:num>
  <w:num w:numId="31">
    <w:abstractNumId w:val="18"/>
  </w:num>
  <w:num w:numId="32">
    <w:abstractNumId w:val="4"/>
  </w:num>
  <w:num w:numId="33">
    <w:abstractNumId w:val="3"/>
  </w:num>
  <w:num w:numId="34">
    <w:abstractNumId w:val="2"/>
  </w:num>
  <w:num w:numId="35">
    <w:abstractNumId w:val="20"/>
  </w:num>
  <w:num w:numId="36">
    <w:abstractNumId w:val="12"/>
  </w:num>
  <w:num w:numId="37">
    <w:abstractNumId w:val="24"/>
  </w:num>
  <w:num w:numId="38">
    <w:abstractNumId w:val="25"/>
  </w:num>
  <w:num w:numId="39">
    <w:abstractNumId w:val="34"/>
  </w:num>
  <w:num w:numId="40">
    <w:abstractNumId w:val="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140F"/>
    <w:rsid w:val="000A4527"/>
    <w:rsid w:val="000A4A4D"/>
    <w:rsid w:val="00155CE5"/>
    <w:rsid w:val="00190853"/>
    <w:rsid w:val="001B58F9"/>
    <w:rsid w:val="001E2F82"/>
    <w:rsid w:val="001F73D0"/>
    <w:rsid w:val="002B6460"/>
    <w:rsid w:val="002C5337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611601"/>
    <w:rsid w:val="006322D7"/>
    <w:rsid w:val="006E7753"/>
    <w:rsid w:val="007B693E"/>
    <w:rsid w:val="007F7AC5"/>
    <w:rsid w:val="00845DC5"/>
    <w:rsid w:val="00854BB2"/>
    <w:rsid w:val="0087073E"/>
    <w:rsid w:val="00875198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345D0"/>
    <w:rsid w:val="00C97E9C"/>
    <w:rsid w:val="00CC7452"/>
    <w:rsid w:val="00CE6684"/>
    <w:rsid w:val="00D377B6"/>
    <w:rsid w:val="00E121CE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18</cp:revision>
  <dcterms:created xsi:type="dcterms:W3CDTF">2020-05-26T14:55:00Z</dcterms:created>
  <dcterms:modified xsi:type="dcterms:W3CDTF">2021-03-31T10:25:00Z</dcterms:modified>
</cp:coreProperties>
</file>